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cs="仿宋" w:asciiTheme="minorEastAsia" w:hAnsiTheme="minorEastAsia" w:eastAsiaTheme="minorEastAsia"/>
          <w:b/>
          <w:bCs/>
          <w:snapToGrid w:val="0"/>
          <w:kern w:val="0"/>
          <w:sz w:val="28"/>
          <w:szCs w:val="28"/>
        </w:rPr>
      </w:pPr>
      <w:r>
        <w:rPr>
          <w:rFonts w:cs="仿宋" w:asciiTheme="minorEastAsia" w:hAnsiTheme="minorEastAsia" w:eastAsiaTheme="minorEastAsia"/>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400" w:lineRule="exact"/>
                              <w:rPr>
                                <w:rFonts w:ascii="仿宋_GB2312" w:eastAsia="仿宋_GB2312"/>
                                <w:b/>
                                <w:sz w:val="26"/>
                                <w:szCs w:val="26"/>
                              </w:rPr>
                            </w:pPr>
                            <w:r>
                              <w:rPr>
                                <w:rFonts w:hint="eastAsia" w:ascii="仿宋_GB2312" w:eastAsia="仿宋_GB2312"/>
                                <w:b/>
                                <w:sz w:val="26"/>
                                <w:szCs w:val="26"/>
                              </w:rPr>
                              <w:t>深 圳 市 中 正 招 标 有 限 公 司</w:t>
                            </w:r>
                          </w:p>
                          <w:p>
                            <w:pPr>
                              <w:spacing w:line="400" w:lineRule="exact"/>
                              <w:rPr>
                                <w:rFonts w:ascii="仿宋_GB2312" w:eastAsia="仿宋_GB2312"/>
                                <w:sz w:val="22"/>
                              </w:rPr>
                            </w:pPr>
                            <w:r>
                              <w:rPr>
                                <w:rFonts w:hint="eastAsia" w:ascii="仿宋_GB2312" w:eastAsia="仿宋_GB2312"/>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t8zXHXAAAACAEAAA8AAAAAAAAAAQAgAAAA&#10;IgAAAGRycy9kb3ducmV2LnhtbFBLAQIUABQAAAAIAIdO4kA87DHxDAIAAEYEAAAOAAAAAAAAAAEA&#10;IAAAACYBAABkcnMvZTJvRG9jLnhtbFBLBQYAAAAABgAGAFkBAACkBQAAAAA=&#10;">
                <v:fill on="t" focussize="0,0"/>
                <v:stroke color="#FFFFFF" joinstyle="miter"/>
                <v:imagedata o:title=""/>
                <o:lock v:ext="edit" aspectratio="f"/>
                <v:textbox>
                  <w:txbxContent>
                    <w:p>
                      <w:pPr>
                        <w:spacing w:line="400" w:lineRule="exact"/>
                        <w:rPr>
                          <w:rFonts w:ascii="仿宋_GB2312" w:eastAsia="仿宋_GB2312"/>
                          <w:b/>
                          <w:sz w:val="26"/>
                          <w:szCs w:val="26"/>
                        </w:rPr>
                      </w:pPr>
                      <w:r>
                        <w:rPr>
                          <w:rFonts w:hint="eastAsia" w:ascii="仿宋_GB2312" w:eastAsia="仿宋_GB2312"/>
                          <w:b/>
                          <w:sz w:val="26"/>
                          <w:szCs w:val="26"/>
                        </w:rPr>
                        <w:t>深 圳 市 中 正 招 标 有 限 公 司</w:t>
                      </w:r>
                    </w:p>
                    <w:p>
                      <w:pPr>
                        <w:spacing w:line="400" w:lineRule="exact"/>
                        <w:rPr>
                          <w:rFonts w:ascii="仿宋_GB2312" w:eastAsia="仿宋_GB2312"/>
                          <w:sz w:val="22"/>
                        </w:rPr>
                      </w:pPr>
                      <w:r>
                        <w:rPr>
                          <w:rFonts w:hint="eastAsia" w:ascii="仿宋_GB2312" w:eastAsia="仿宋_GB2312"/>
                          <w:sz w:val="22"/>
                        </w:rPr>
                        <w:t>SHENZHEN ZHONGZHENG TENDERING CO.,LTD.</w:t>
                      </w:r>
                    </w:p>
                  </w:txbxContent>
                </v:textbox>
              </v:shape>
            </w:pict>
          </mc:Fallback>
        </mc:AlternateContent>
      </w:r>
      <w:r>
        <w:rPr>
          <w:rFonts w:hint="eastAsia" w:cs="仿宋" w:asciiTheme="minorEastAsia" w:hAnsiTheme="minorEastAsia" w:eastAsiaTheme="minorEastAsia"/>
          <w:b/>
          <w:kern w:val="0"/>
          <w:sz w:val="28"/>
          <w:szCs w:val="28"/>
        </w:rPr>
        <w:drawing>
          <wp:inline distT="0" distB="0" distL="0" distR="0">
            <wp:extent cx="552450" cy="476250"/>
            <wp:effectExtent l="57150" t="19050" r="1905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7" cstate="print"/>
                    <a:srcRect/>
                    <a:stretch>
                      <a:fillRect/>
                    </a:stretch>
                  </pic:blipFill>
                  <pic:spPr>
                    <a:xfrm>
                      <a:off x="0" y="0"/>
                      <a:ext cx="552450" cy="476250"/>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jc w:val="center"/>
        <w:rPr>
          <w:rFonts w:cs="仿宋" w:asciiTheme="minorEastAsia" w:hAnsiTheme="minorEastAsia" w:eastAsiaTheme="minorEastAsia"/>
        </w:rPr>
      </w:pPr>
    </w:p>
    <w:p>
      <w:pPr>
        <w:jc w:val="center"/>
        <w:rPr>
          <w:rFonts w:cs="仿宋" w:asciiTheme="minorEastAsia" w:hAnsiTheme="minorEastAsia" w:eastAsiaTheme="minorEastAsia"/>
        </w:rPr>
      </w:pPr>
      <w:r>
        <w:rPr>
          <w:rFonts w:hint="eastAsia" w:cs="仿宋" w:asciiTheme="minorEastAsia" w:hAnsiTheme="minorEastAsia" w:eastAsiaTheme="minorEastAsia"/>
          <w:b/>
          <w:bCs/>
          <w:snapToGrid w:val="0"/>
          <w:kern w:val="0"/>
          <w:sz w:val="72"/>
          <w:szCs w:val="70"/>
        </w:rPr>
        <w:t>深圳地铁1号线西段警用通信系统运维项目</w:t>
      </w: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adjustRightInd w:val="0"/>
        <w:snapToGrid w:val="0"/>
        <w:spacing w:line="300" w:lineRule="auto"/>
        <w:jc w:val="center"/>
        <w:rPr>
          <w:rFonts w:cs="仿宋" w:asciiTheme="minorEastAsia" w:hAnsiTheme="minorEastAsia" w:eastAsiaTheme="minorEastAsia"/>
          <w:b/>
          <w:snapToGrid w:val="0"/>
          <w:kern w:val="0"/>
          <w:sz w:val="90"/>
        </w:rPr>
      </w:pPr>
      <w:r>
        <w:rPr>
          <w:rFonts w:hint="eastAsia" w:cs="仿宋" w:asciiTheme="minorEastAsia" w:hAnsiTheme="minorEastAsia" w:eastAsiaTheme="minorEastAsia"/>
          <w:b/>
          <w:snapToGrid w:val="0"/>
          <w:kern w:val="0"/>
          <w:sz w:val="90"/>
        </w:rPr>
        <w:t>征  集　文　件</w:t>
      </w:r>
    </w:p>
    <w:p>
      <w:pPr>
        <w:adjustRightInd w:val="0"/>
        <w:snapToGrid w:val="0"/>
        <w:spacing w:line="300" w:lineRule="auto"/>
        <w:jc w:val="center"/>
        <w:rPr>
          <w:rFonts w:cs="仿宋" w:asciiTheme="minorEastAsia" w:hAnsiTheme="minorEastAsia" w:eastAsiaTheme="minorEastAsia"/>
          <w:b/>
          <w:snapToGrid w:val="0"/>
          <w:kern w:val="0"/>
          <w:sz w:val="32"/>
        </w:rPr>
      </w:pPr>
    </w:p>
    <w:p>
      <w:pPr>
        <w:adjustRightInd w:val="0"/>
        <w:snapToGrid w:val="0"/>
        <w:spacing w:line="300" w:lineRule="auto"/>
        <w:jc w:val="center"/>
        <w:rPr>
          <w:rFonts w:cs="仿宋" w:asciiTheme="minorEastAsia" w:hAnsiTheme="minorEastAsia" w:eastAsiaTheme="minorEastAsia"/>
          <w:b/>
          <w:snapToGrid w:val="0"/>
          <w:kern w:val="0"/>
          <w:sz w:val="44"/>
        </w:rPr>
      </w:pPr>
      <w:r>
        <w:rPr>
          <w:rFonts w:hint="eastAsia" w:cs="仿宋" w:asciiTheme="minorEastAsia" w:hAnsiTheme="minorEastAsia" w:eastAsiaTheme="minorEastAsia"/>
          <w:b/>
          <w:snapToGrid w:val="0"/>
          <w:kern w:val="0"/>
          <w:sz w:val="32"/>
        </w:rPr>
        <w:t>项目编号：SZZZ2022-QC0510</w:t>
      </w: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pStyle w:val="11"/>
        <w:adjustRightInd w:val="0"/>
        <w:snapToGrid w:val="0"/>
        <w:spacing w:line="300" w:lineRule="auto"/>
        <w:jc w:val="center"/>
        <w:rPr>
          <w:rFonts w:cs="仿宋" w:asciiTheme="minorEastAsia" w:hAnsiTheme="minorEastAsia" w:eastAsiaTheme="minorEastAsia"/>
          <w:b/>
          <w:snapToGrid w:val="0"/>
          <w:sz w:val="30"/>
        </w:rPr>
      </w:pPr>
      <w:r>
        <w:rPr>
          <w:rFonts w:hint="eastAsia" w:cs="仿宋" w:asciiTheme="minorEastAsia" w:hAnsiTheme="minorEastAsia" w:eastAsiaTheme="minorEastAsia"/>
          <w:b/>
          <w:snapToGrid w:val="0"/>
          <w:sz w:val="30"/>
        </w:rPr>
        <w:t>二〇二二年十二月</w:t>
      </w:r>
    </w:p>
    <w:p>
      <w:pPr>
        <w:widowControl/>
        <w:jc w:val="center"/>
        <w:rPr>
          <w:rFonts w:cs="仿宋" w:asciiTheme="minorEastAsia" w:hAnsiTheme="minorEastAsia" w:eastAsiaTheme="minorEastAsia"/>
          <w:snapToGrid w:val="0"/>
        </w:rPr>
      </w:pPr>
      <w:r>
        <w:rPr>
          <w:rFonts w:hint="eastAsia" w:cs="仿宋" w:asciiTheme="minorEastAsia" w:hAnsiTheme="minorEastAsia" w:eastAsiaTheme="minorEastAsia"/>
          <w:snapToGrid w:val="0"/>
        </w:rPr>
        <w:br w:type="page"/>
      </w: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pPr>
        <w:spacing w:line="360" w:lineRule="auto"/>
        <w:ind w:firstLine="480" w:firstLineChars="200"/>
        <w:rPr>
          <w:rFonts w:ascii="宋体" w:hAnsi="宋体"/>
          <w:sz w:val="24"/>
          <w:szCs w:val="24"/>
        </w:rPr>
      </w:pPr>
    </w:p>
    <w:p>
      <w:pPr>
        <w:spacing w:line="440" w:lineRule="exact"/>
        <w:ind w:firstLine="480" w:firstLineChars="200"/>
        <w:rPr>
          <w:rFonts w:ascii="仿宋" w:hAnsi="仿宋" w:eastAsia="仿宋"/>
          <w:sz w:val="24"/>
          <w:szCs w:val="24"/>
        </w:rPr>
      </w:pPr>
      <w:r>
        <w:rPr>
          <w:rFonts w:hint="eastAsia" w:ascii="仿宋" w:hAnsi="仿宋" w:eastAsia="仿宋"/>
          <w:sz w:val="24"/>
          <w:szCs w:val="24"/>
        </w:rPr>
        <w:t>一、《深圳经济特区政府采购条例》第五十七条</w:t>
      </w:r>
      <w:r>
        <w:rPr>
          <w:rFonts w:ascii="仿宋" w:hAnsi="仿宋" w:eastAsia="仿宋"/>
          <w:sz w:val="24"/>
          <w:szCs w:val="24"/>
        </w:rPr>
        <w:t xml:space="preserve"> </w:t>
      </w:r>
      <w:r>
        <w:rPr>
          <w:rFonts w:hint="eastAsia" w:ascii="仿宋" w:hAnsi="仿宋" w:eastAsia="仿宋"/>
          <w:sz w:val="24"/>
          <w:szCs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（一）在采购活动中应当回避而未回避的；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（二）未按本条例规定签订、履行采购合同，造成严重后果的；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（三）隐瞒真实情况，提供虚假资料的；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（四）以非法手段排斥其他供应商参与竞争的；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（五）与其他采购参加人串通投标的；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（六）恶意投诉的；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（七）向采购项目相关人行贿或者提供其他不当利益的；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（八）阻碍、抗拒主管部门监督检查的；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（九）其他违反本条例规定的行为。</w:t>
      </w:r>
    </w:p>
    <w:p>
      <w:pPr>
        <w:spacing w:line="440" w:lineRule="exact"/>
        <w:ind w:firstLine="480" w:firstLineChars="200"/>
        <w:rPr>
          <w:rFonts w:ascii="仿宋" w:hAnsi="仿宋" w:eastAsia="仿宋"/>
          <w:sz w:val="24"/>
          <w:szCs w:val="24"/>
        </w:rPr>
      </w:pPr>
    </w:p>
    <w:p>
      <w:pPr>
        <w:spacing w:line="440" w:lineRule="exact"/>
        <w:ind w:firstLine="480" w:firstLineChars="200"/>
        <w:rPr>
          <w:rFonts w:ascii="仿宋" w:hAnsi="仿宋" w:eastAsia="仿宋"/>
          <w:sz w:val="24"/>
          <w:szCs w:val="24"/>
        </w:rPr>
      </w:pPr>
      <w:r>
        <w:rPr>
          <w:rFonts w:hint="eastAsia" w:ascii="仿宋" w:hAnsi="仿宋" w:eastAsia="仿宋"/>
          <w:sz w:val="24"/>
          <w:szCs w:val="24"/>
        </w:rPr>
        <w:t>二、《深圳经济特区政府采购条例实施细则》第七十六条 供应商有下列行为之一的，由主管部门记入供应商诚信档案并作出以下处罚：</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 xml:space="preserve">第七十七条 供应商有下列行为之一的，属于情节严重，由市场监管部门依法吊销其营业执照，主管部门取消其参与本市政府采购的资格，并作出以下处罚： </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第七十九条 供应商有下列情形的，属于采购条例所称的串通投标行为，按照采购条例第五十七条有关规定处理：</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（一）投标供应商之间相互约定给予未中标的供应商利益补偿；</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 xml:space="preserve">（二）不同投标供应商的法定代表人、主要经营负责人、项目投标授权代表人、项目负责人、主要技术人员为同一人、属同一单位或者在同一单位缴纳社会保险；          </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（三）不同投标供应商的投标文件由同一单位或者同一人编制，或者由同一人分阶段参与编制的；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（四）不同投标供应商的投标文件或部分投标文件相互混装；</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（五）不同投标供应商的投标文件内容存在非正常一致；</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（六）由同一单位工作人员为两家以上（含两家）供应商进行同一项投标活动的；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（七）主管部门依照法律、法规认定的其他情形。</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第八十一条 供应商有下列情形之一的，属于隐瞒真实情况，提供虚假资料，按照采购条例第五十七的有关规定处理：</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（一）通过转让或者租借等方式从其他单位获取资格或者资质证书投标的；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（二）由其他单位或者其他单位负责人在投标供应商编制的投标文件上加盖印章或者签字的；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（三）项目负责人或者主要技术人员不是本单位人员的；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（四）投标保证金不是从投标供应商基本账户转出的；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（五）其他隐瞒真实情况、提供虚假资料的行为。</w:t>
      </w:r>
    </w:p>
    <w:p>
      <w:pPr>
        <w:spacing w:line="440" w:lineRule="exact"/>
        <w:ind w:firstLine="424" w:firstLineChars="177"/>
        <w:rPr>
          <w:rFonts w:ascii="仿宋" w:hAnsi="仿宋" w:eastAsia="仿宋"/>
          <w:sz w:val="24"/>
          <w:szCs w:val="24"/>
        </w:rPr>
      </w:pPr>
      <w:r>
        <w:rPr>
          <w:rFonts w:hint="eastAsia" w:ascii="仿宋" w:hAnsi="仿宋" w:eastAsia="仿宋"/>
          <w:sz w:val="24"/>
          <w:szCs w:val="24"/>
        </w:rPr>
        <w:t>投标供应商不能提供项目负责人或者主要技术人员的劳动合同、社会保险等劳动关系证明材料的，视为存在前款第（三）项规定的情形。</w:t>
      </w:r>
    </w:p>
    <w:p>
      <w:pPr>
        <w:spacing w:line="440" w:lineRule="exact"/>
        <w:ind w:firstLine="426" w:firstLineChars="177"/>
        <w:rPr>
          <w:rFonts w:ascii="仿宋_GB2312" w:eastAsia="仿宋_GB2312" w:hAnsiTheme="minorEastAsia"/>
          <w:b/>
          <w:color w:val="FF0000"/>
          <w:sz w:val="24"/>
          <w:szCs w:val="24"/>
        </w:rPr>
      </w:pPr>
    </w:p>
    <w:p>
      <w:pPr>
        <w:spacing w:line="440" w:lineRule="exact"/>
        <w:ind w:firstLine="426" w:firstLineChars="177"/>
        <w:rPr>
          <w:rFonts w:ascii="仿宋_GB2312" w:eastAsia="仿宋_GB2312" w:hAnsiTheme="minorEastAsia"/>
          <w:b/>
          <w:color w:val="FF0000"/>
          <w:sz w:val="24"/>
          <w:szCs w:val="24"/>
        </w:rPr>
      </w:pPr>
      <w:r>
        <w:rPr>
          <w:rFonts w:hint="eastAsia" w:ascii="仿宋_GB2312" w:eastAsia="仿宋_GB2312" w:hAnsiTheme="minorEastAsia"/>
          <w:b/>
          <w:color w:val="FF0000"/>
          <w:sz w:val="24"/>
          <w:szCs w:val="24"/>
        </w:rPr>
        <w:t>三、根据《中华人民共和国政府采购法实施条例》第十八条规定：“单位负责人为同一人或者存在直接控股、管理关系的不同供应商，不得参加同一合同项下的政府采购活动。”</w:t>
      </w:r>
    </w:p>
    <w:p>
      <w:pPr>
        <w:spacing w:line="440" w:lineRule="exact"/>
        <w:ind w:firstLine="426" w:firstLineChars="177"/>
        <w:rPr>
          <w:rFonts w:ascii="仿宋_GB2312" w:eastAsia="仿宋_GB2312" w:hAnsiTheme="minorEastAsia"/>
          <w:b/>
          <w:color w:val="FF0000"/>
          <w:sz w:val="24"/>
          <w:szCs w:val="24"/>
        </w:rPr>
      </w:pPr>
      <w:r>
        <w:rPr>
          <w:rFonts w:hint="eastAsia" w:ascii="仿宋_GB2312" w:eastAsia="仿宋_GB2312" w:hAnsiTheme="minorEastAsia"/>
          <w:b/>
          <w:color w:val="FF0000"/>
          <w:sz w:val="24"/>
          <w:szCs w:val="24"/>
        </w:rPr>
        <w:t>投标供应商涉嫌存在串通投标等违法行为的，将书面报告财政主管部门依法处理。</w:t>
      </w:r>
    </w:p>
    <w:p>
      <w:pPr>
        <w:widowControl/>
        <w:jc w:val="center"/>
        <w:rPr>
          <w:rFonts w:cs="仿宋" w:asciiTheme="minorEastAsia" w:hAnsiTheme="minorEastAsia" w:eastAsiaTheme="minorEastAsia"/>
          <w:snapToGrid w:val="0"/>
        </w:rPr>
      </w:pPr>
    </w:p>
    <w:p>
      <w:pPr>
        <w:widowControl/>
        <w:jc w:val="center"/>
        <w:rPr>
          <w:rFonts w:cs="仿宋" w:asciiTheme="minorEastAsia" w:hAnsiTheme="minorEastAsia" w:eastAsiaTheme="minorEastAsia"/>
          <w:snapToGrid w:val="0"/>
        </w:rPr>
      </w:pPr>
    </w:p>
    <w:p>
      <w:pPr>
        <w:widowControl/>
        <w:jc w:val="left"/>
        <w:rPr>
          <w:rFonts w:cs="仿宋" w:asciiTheme="minorEastAsia" w:hAnsiTheme="minorEastAsia" w:eastAsiaTheme="minorEastAsia"/>
          <w:snapToGrid w:val="0"/>
        </w:rPr>
      </w:pPr>
      <w:r>
        <w:rPr>
          <w:rFonts w:cs="仿宋" w:asciiTheme="minorEastAsia" w:hAnsiTheme="minorEastAsia" w:eastAsiaTheme="minorEastAsia"/>
          <w:snapToGrid w:val="0"/>
        </w:rPr>
        <w:br w:type="page"/>
      </w:r>
    </w:p>
    <w:p>
      <w:pPr>
        <w:widowControl/>
        <w:jc w:val="center"/>
        <w:rPr>
          <w:rFonts w:cs="仿宋" w:asciiTheme="minorEastAsia" w:hAnsiTheme="minorEastAsia" w:eastAsiaTheme="minorEastAsia"/>
          <w:snapToGrid w:val="0"/>
        </w:rPr>
      </w:pPr>
    </w:p>
    <w:p>
      <w:pPr>
        <w:widowControl/>
        <w:jc w:val="center"/>
        <w:rPr>
          <w:rFonts w:cs="仿宋" w:asciiTheme="minorEastAsia" w:hAnsiTheme="minorEastAsia" w:eastAsiaTheme="minorEastAsia"/>
          <w:b/>
          <w:snapToGrid w:val="0"/>
          <w:sz w:val="48"/>
          <w:szCs w:val="48"/>
        </w:rPr>
      </w:pPr>
      <w:r>
        <w:rPr>
          <w:rFonts w:hint="eastAsia" w:cs="仿宋" w:asciiTheme="minorEastAsia" w:hAnsiTheme="minorEastAsia" w:eastAsiaTheme="minorEastAsia"/>
          <w:b/>
          <w:snapToGrid w:val="0"/>
          <w:sz w:val="48"/>
          <w:szCs w:val="48"/>
        </w:rPr>
        <w:t>征集文件信息</w:t>
      </w:r>
    </w:p>
    <w:p>
      <w:pPr>
        <w:widowControl/>
        <w:jc w:val="left"/>
        <w:rPr>
          <w:rFonts w:cs="仿宋" w:asciiTheme="minorEastAsia" w:hAnsiTheme="minorEastAsia" w:eastAsiaTheme="minorEastAsia"/>
          <w:sz w:val="28"/>
        </w:rPr>
      </w:pPr>
    </w:p>
    <w:tbl>
      <w:tblPr>
        <w:tblStyle w:val="19"/>
        <w:tblW w:w="8774" w:type="dxa"/>
        <w:jc w:val="center"/>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19"/>
        <w:gridCol w:w="6555"/>
      </w:tblGrid>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项目名称</w:t>
            </w:r>
          </w:p>
        </w:tc>
        <w:tc>
          <w:tcPr>
            <w:tcW w:w="6555" w:type="dxa"/>
            <w:vAlign w:val="center"/>
          </w:tcPr>
          <w:p>
            <w:pPr>
              <w:widowControl/>
              <w:spacing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szCs w:val="21"/>
              </w:rPr>
              <w:t>深圳地铁1号线西段警用通信系统运维项目</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项目编号</w:t>
            </w:r>
          </w:p>
        </w:tc>
        <w:tc>
          <w:tcPr>
            <w:tcW w:w="6555" w:type="dxa"/>
            <w:vAlign w:val="center"/>
          </w:tcPr>
          <w:p>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SZZZ2022-QC0510</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项目类型</w:t>
            </w:r>
          </w:p>
        </w:tc>
        <w:tc>
          <w:tcPr>
            <w:tcW w:w="6555" w:type="dxa"/>
            <w:vAlign w:val="center"/>
          </w:tcPr>
          <w:p>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服务类</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采购方式</w:t>
            </w:r>
          </w:p>
        </w:tc>
        <w:tc>
          <w:tcPr>
            <w:tcW w:w="6555" w:type="dxa"/>
            <w:vAlign w:val="center"/>
          </w:tcPr>
          <w:p>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公开征集</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2219" w:type="dxa"/>
            <w:shd w:val="clear" w:color="auto" w:fill="DDD9C4" w:themeFill="background2" w:themeFillShade="E6"/>
            <w:vAlign w:val="center"/>
          </w:tcPr>
          <w:p>
            <w:pPr>
              <w:widowControl/>
              <w:spacing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是否评定分离</w:t>
            </w:r>
          </w:p>
        </w:tc>
        <w:tc>
          <w:tcPr>
            <w:tcW w:w="6555" w:type="dxa"/>
            <w:vAlign w:val="center"/>
          </w:tcPr>
          <w:p>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否</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评审方法</w:t>
            </w:r>
          </w:p>
        </w:tc>
        <w:tc>
          <w:tcPr>
            <w:tcW w:w="6555" w:type="dxa"/>
            <w:vAlign w:val="center"/>
          </w:tcPr>
          <w:p>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综合评分法</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定标方法</w:t>
            </w:r>
          </w:p>
        </w:tc>
        <w:tc>
          <w:tcPr>
            <w:tcW w:w="6555" w:type="dxa"/>
            <w:vAlign w:val="center"/>
          </w:tcPr>
          <w:p>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无</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中标候选供应商</w:t>
            </w:r>
          </w:p>
        </w:tc>
        <w:tc>
          <w:tcPr>
            <w:tcW w:w="6555" w:type="dxa"/>
            <w:vAlign w:val="center"/>
          </w:tcPr>
          <w:p>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3家</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中标供应商</w:t>
            </w:r>
          </w:p>
        </w:tc>
        <w:tc>
          <w:tcPr>
            <w:tcW w:w="6555" w:type="dxa"/>
            <w:vAlign w:val="center"/>
          </w:tcPr>
          <w:p>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1家</w:t>
            </w:r>
          </w:p>
        </w:tc>
      </w:tr>
    </w:tbl>
    <w:p>
      <w:pPr>
        <w:widowControl/>
        <w:jc w:val="left"/>
        <w:rPr>
          <w:rFonts w:cs="仿宋" w:asciiTheme="minorEastAsia" w:hAnsiTheme="minorEastAsia" w:eastAsiaTheme="minorEastAsia"/>
          <w:b/>
          <w:sz w:val="36"/>
        </w:rPr>
      </w:pPr>
      <w:r>
        <w:rPr>
          <w:rFonts w:hint="eastAsia" w:cs="仿宋" w:asciiTheme="minorEastAsia" w:hAnsiTheme="minorEastAsia" w:eastAsiaTheme="minorEastAsia"/>
          <w:b/>
          <w:sz w:val="36"/>
        </w:rPr>
        <w:br w:type="page"/>
      </w:r>
    </w:p>
    <w:p>
      <w:pPr>
        <w:spacing w:line="360" w:lineRule="auto"/>
        <w:jc w:val="center"/>
        <w:rPr>
          <w:rFonts w:cs="仿宋" w:asciiTheme="minorEastAsia" w:hAnsiTheme="minorEastAsia" w:eastAsiaTheme="minorEastAsia"/>
          <w:b/>
          <w:sz w:val="48"/>
          <w:szCs w:val="48"/>
        </w:rPr>
      </w:pPr>
      <w:r>
        <w:rPr>
          <w:rFonts w:hint="eastAsia" w:cs="仿宋" w:asciiTheme="minorEastAsia" w:hAnsiTheme="minorEastAsia" w:eastAsiaTheme="minorEastAsia"/>
          <w:b/>
          <w:sz w:val="48"/>
          <w:szCs w:val="48"/>
        </w:rPr>
        <w:t>征集文件目录</w:t>
      </w:r>
    </w:p>
    <w:p>
      <w:pPr>
        <w:jc w:val="center"/>
        <w:rPr>
          <w:rFonts w:cs="仿宋" w:asciiTheme="minorEastAsia" w:hAnsiTheme="minorEastAsia" w:eastAsiaTheme="minorEastAsia"/>
          <w:b/>
          <w:sz w:val="20"/>
        </w:rPr>
      </w:pP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26"/>
        <w:gridCol w:w="6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采购公告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b/>
                <w:sz w:val="24"/>
              </w:rPr>
            </w:pPr>
            <w:r>
              <w:rPr>
                <w:rFonts w:hint="eastAsia" w:ascii="仿宋_GB2312" w:eastAsia="仿宋_GB2312" w:cs="仿宋" w:hAnsiTheme="minorEastAsia"/>
                <w:b/>
                <w:sz w:val="24"/>
              </w:rPr>
              <w:t>第一部分</w:t>
            </w:r>
          </w:p>
        </w:tc>
        <w:tc>
          <w:tcPr>
            <w:tcW w:w="6996" w:type="dxa"/>
            <w:vAlign w:val="center"/>
          </w:tcPr>
          <w:p>
            <w:pPr>
              <w:widowControl/>
              <w:spacing w:line="360" w:lineRule="auto"/>
              <w:rPr>
                <w:rFonts w:ascii="仿宋_GB2312" w:eastAsia="仿宋_GB2312" w:cs="仿宋" w:hAnsiTheme="minorEastAsia"/>
                <w:b/>
                <w:sz w:val="24"/>
              </w:rPr>
            </w:pPr>
            <w:r>
              <w:rPr>
                <w:rFonts w:hint="eastAsia" w:ascii="仿宋_GB2312" w:eastAsia="仿宋_GB2312" w:cs="仿宋" w:hAnsiTheme="minorEastAsia"/>
                <w:b/>
                <w:sz w:val="24"/>
              </w:rPr>
              <w:t>投标须知前附表及评审信息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投标须知前附表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投标须知前附件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评审信息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26" w:type="dxa"/>
            <w:vAlign w:val="center"/>
          </w:tcPr>
          <w:p>
            <w:pPr>
              <w:widowControl/>
              <w:spacing w:line="360" w:lineRule="auto"/>
              <w:jc w:val="center"/>
              <w:rPr>
                <w:rFonts w:ascii="仿宋_GB2312" w:eastAsia="仿宋_GB2312" w:cs="仿宋" w:hAnsiTheme="minorEastAsia"/>
                <w:b/>
                <w:sz w:val="24"/>
              </w:rPr>
            </w:pPr>
            <w:r>
              <w:rPr>
                <w:rFonts w:hint="eastAsia" w:ascii="仿宋_GB2312" w:eastAsia="仿宋_GB2312" w:cs="仿宋" w:hAnsiTheme="minorEastAsia"/>
                <w:b/>
                <w:sz w:val="24"/>
              </w:rPr>
              <w:t>第二部分</w:t>
            </w:r>
          </w:p>
        </w:tc>
        <w:tc>
          <w:tcPr>
            <w:tcW w:w="6996" w:type="dxa"/>
            <w:vAlign w:val="center"/>
          </w:tcPr>
          <w:p>
            <w:pPr>
              <w:widowControl/>
              <w:spacing w:line="360" w:lineRule="auto"/>
              <w:rPr>
                <w:rFonts w:ascii="仿宋_GB2312" w:eastAsia="仿宋_GB2312" w:cs="仿宋" w:hAnsiTheme="minorEastAsia"/>
                <w:b/>
                <w:sz w:val="24"/>
              </w:rPr>
            </w:pPr>
            <w:r>
              <w:rPr>
                <w:rFonts w:hint="eastAsia" w:ascii="仿宋_GB2312" w:eastAsia="仿宋_GB2312" w:cs="仿宋" w:hAnsiTheme="minorEastAsia"/>
                <w:b/>
                <w:sz w:val="24"/>
              </w:rPr>
              <w:t>采购项目需求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采购项目需求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26" w:type="dxa"/>
            <w:vAlign w:val="center"/>
          </w:tcPr>
          <w:p>
            <w:pPr>
              <w:widowControl/>
              <w:spacing w:line="360" w:lineRule="auto"/>
              <w:jc w:val="center"/>
              <w:rPr>
                <w:rFonts w:ascii="仿宋_GB2312" w:eastAsia="仿宋_GB2312" w:cs="仿宋" w:hAnsiTheme="minorEastAsia"/>
                <w:b/>
                <w:sz w:val="24"/>
              </w:rPr>
            </w:pPr>
            <w:r>
              <w:rPr>
                <w:rFonts w:hint="eastAsia" w:ascii="仿宋_GB2312" w:eastAsia="仿宋_GB2312" w:cs="仿宋" w:hAnsiTheme="minorEastAsia"/>
                <w:b/>
                <w:sz w:val="24"/>
              </w:rPr>
              <w:t>第三部分</w:t>
            </w:r>
          </w:p>
        </w:tc>
        <w:tc>
          <w:tcPr>
            <w:tcW w:w="6996" w:type="dxa"/>
            <w:vAlign w:val="center"/>
          </w:tcPr>
          <w:p>
            <w:pPr>
              <w:widowControl/>
              <w:spacing w:line="360" w:lineRule="auto"/>
              <w:rPr>
                <w:rFonts w:ascii="仿宋_GB2312" w:eastAsia="仿宋_GB2312" w:cs="仿宋" w:hAnsiTheme="minorEastAsia"/>
                <w:b/>
                <w:sz w:val="24"/>
              </w:rPr>
            </w:pPr>
            <w:r>
              <w:rPr>
                <w:rFonts w:hint="eastAsia" w:ascii="仿宋_GB2312" w:eastAsia="仿宋_GB2312" w:cs="仿宋" w:hAnsiTheme="minorEastAsia"/>
                <w:b/>
                <w:sz w:val="24"/>
              </w:rPr>
              <w:t>投标文件格式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投标文件目录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政府采购违法行为风险知悉确认书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评审指引表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格式1 声明函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格式2 投标供应商资格证明文件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格式3评分中涉及的承诺及声明函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格式4 开标一览表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格式5 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格式6 服务方案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格式7 差异表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格式8 其他征集文件要求的资料或投标供应商认为需要补充的资料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26" w:type="dxa"/>
            <w:vAlign w:val="center"/>
          </w:tcPr>
          <w:p>
            <w:pPr>
              <w:widowControl/>
              <w:spacing w:line="360" w:lineRule="auto"/>
              <w:jc w:val="center"/>
              <w:rPr>
                <w:rFonts w:ascii="仿宋_GB2312" w:eastAsia="仿宋_GB2312" w:cs="仿宋" w:hAnsiTheme="minorEastAsia"/>
                <w:b/>
                <w:sz w:val="24"/>
              </w:rPr>
            </w:pPr>
            <w:r>
              <w:rPr>
                <w:rFonts w:hint="eastAsia" w:ascii="仿宋_GB2312" w:eastAsia="仿宋_GB2312" w:cs="仿宋" w:hAnsiTheme="minorEastAsia"/>
                <w:b/>
                <w:sz w:val="24"/>
              </w:rPr>
              <w:t>第四部分</w:t>
            </w:r>
          </w:p>
        </w:tc>
        <w:tc>
          <w:tcPr>
            <w:tcW w:w="6996" w:type="dxa"/>
            <w:vAlign w:val="center"/>
          </w:tcPr>
          <w:p>
            <w:pPr>
              <w:widowControl/>
              <w:spacing w:line="360" w:lineRule="auto"/>
              <w:rPr>
                <w:rFonts w:ascii="仿宋_GB2312" w:eastAsia="仿宋_GB2312" w:cs="仿宋" w:hAnsiTheme="minorEastAsia"/>
                <w:b/>
                <w:sz w:val="24"/>
              </w:rPr>
            </w:pPr>
            <w:r>
              <w:rPr>
                <w:rFonts w:hint="eastAsia" w:ascii="仿宋_GB2312" w:eastAsia="仿宋_GB2312" w:cs="仿宋" w:hAnsiTheme="minorEastAsia"/>
                <w:b/>
                <w:sz w:val="24"/>
              </w:rPr>
              <w:t>合同条款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合同条款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b/>
                <w:sz w:val="24"/>
              </w:rPr>
            </w:pPr>
            <w:r>
              <w:rPr>
                <w:rFonts w:hint="eastAsia" w:ascii="仿宋_GB2312" w:eastAsia="仿宋_GB2312" w:cs="仿宋" w:hAnsiTheme="minorEastAsia"/>
                <w:b/>
                <w:sz w:val="24"/>
              </w:rPr>
              <w:t>第五部分</w:t>
            </w:r>
          </w:p>
        </w:tc>
        <w:tc>
          <w:tcPr>
            <w:tcW w:w="6996" w:type="dxa"/>
            <w:vAlign w:val="center"/>
          </w:tcPr>
          <w:p>
            <w:pPr>
              <w:widowControl/>
              <w:spacing w:line="360" w:lineRule="auto"/>
              <w:rPr>
                <w:rFonts w:ascii="仿宋_GB2312" w:eastAsia="仿宋_GB2312" w:cs="仿宋" w:hAnsiTheme="minorEastAsia"/>
                <w:b/>
                <w:sz w:val="24"/>
              </w:rPr>
            </w:pPr>
            <w:r>
              <w:rPr>
                <w:rFonts w:hint="eastAsia" w:ascii="仿宋_GB2312" w:eastAsia="仿宋_GB2312" w:cs="仿宋" w:hAnsiTheme="minorEastAsia"/>
                <w:b/>
                <w:sz w:val="24"/>
              </w:rPr>
              <w:t>通用条款（投标须知）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A、说明；B、征集文件说明；C、投标文件的编写；</w:t>
            </w:r>
          </w:p>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D、投标文件递交；E、开标和评审；F、授予合同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26" w:type="dxa"/>
            <w:vAlign w:val="center"/>
          </w:tcPr>
          <w:p>
            <w:pPr>
              <w:widowControl/>
              <w:spacing w:line="360" w:lineRule="auto"/>
              <w:jc w:val="center"/>
              <w:rPr>
                <w:rFonts w:ascii="仿宋_GB2312" w:eastAsia="仿宋_GB2312" w:cs="仿宋" w:hAnsiTheme="minorEastAsia"/>
                <w:b/>
                <w:sz w:val="24"/>
              </w:rPr>
            </w:pPr>
            <w:r>
              <w:rPr>
                <w:rFonts w:hint="eastAsia" w:ascii="仿宋_GB2312" w:eastAsia="仿宋_GB2312" w:cs="仿宋" w:hAnsiTheme="minorEastAsia"/>
                <w:b/>
                <w:sz w:val="24"/>
              </w:rPr>
              <w:t>第六部分</w:t>
            </w:r>
          </w:p>
        </w:tc>
        <w:tc>
          <w:tcPr>
            <w:tcW w:w="6996" w:type="dxa"/>
            <w:vAlign w:val="center"/>
          </w:tcPr>
          <w:p>
            <w:pPr>
              <w:widowControl/>
              <w:spacing w:line="360" w:lineRule="auto"/>
              <w:rPr>
                <w:rFonts w:ascii="仿宋_GB2312" w:eastAsia="仿宋_GB2312" w:cs="仿宋" w:hAnsiTheme="minorEastAsia"/>
                <w:b/>
                <w:sz w:val="24"/>
              </w:rPr>
            </w:pPr>
            <w:r>
              <w:rPr>
                <w:rFonts w:hint="eastAsia" w:ascii="仿宋_GB2312" w:eastAsia="仿宋_GB2312" w:cs="仿宋" w:hAnsiTheme="minorEastAsia"/>
                <w:b/>
                <w:sz w:val="24"/>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spacing w:line="360" w:lineRule="auto"/>
              <w:rPr>
                <w:rFonts w:ascii="仿宋_GB2312" w:eastAsia="仿宋_GB2312" w:cs="仿宋" w:hAnsiTheme="minorEastAsia"/>
                <w:sz w:val="24"/>
              </w:rPr>
            </w:pPr>
            <w:r>
              <w:rPr>
                <w:rFonts w:hint="eastAsia" w:ascii="仿宋_GB2312" w:eastAsia="仿宋_GB2312" w:cs="仿宋" w:hAnsiTheme="minorEastAsia"/>
                <w:sz w:val="24"/>
              </w:rPr>
              <w:t>附件</w:t>
            </w:r>
            <w:bookmarkStart w:id="0" w:name="_Hlt229371809"/>
            <w:r>
              <w:rPr>
                <w:rFonts w:hint="eastAsia" w:ascii="仿宋_GB2312" w:eastAsia="仿宋_GB2312" w:cs="仿宋" w:hAnsiTheme="minorEastAsia"/>
                <w:sz w:val="24"/>
              </w:rPr>
              <w:t>1</w:t>
            </w:r>
            <w:bookmarkEnd w:id="0"/>
            <w:r>
              <w:rPr>
                <w:rFonts w:hint="eastAsia" w:ascii="仿宋_GB2312" w:eastAsia="仿宋_GB2312" w:cs="仿宋" w:hAnsiTheme="minorEastAsia"/>
                <w:sz w:val="24"/>
              </w:rPr>
              <w:t xml:space="preserve">  履</w:t>
            </w:r>
            <w:bookmarkStart w:id="1" w:name="_Hlt358023691"/>
            <w:r>
              <w:rPr>
                <w:rFonts w:hint="eastAsia" w:ascii="仿宋_GB2312" w:eastAsia="仿宋_GB2312" w:cs="仿宋" w:hAnsiTheme="minorEastAsia"/>
                <w:sz w:val="24"/>
              </w:rPr>
              <w:t>约</w:t>
            </w:r>
            <w:bookmarkEnd w:id="1"/>
            <w:r>
              <w:rPr>
                <w:rFonts w:hint="eastAsia" w:ascii="仿宋_GB2312" w:eastAsia="仿宋_GB2312" w:cs="仿宋" w:hAnsiTheme="minorEastAsia"/>
                <w:sz w:val="24"/>
              </w:rPr>
              <w:t>保</w:t>
            </w:r>
            <w:bookmarkStart w:id="2" w:name="_Hlt356375840"/>
            <w:bookmarkStart w:id="3" w:name="_Hlt356375839"/>
            <w:r>
              <w:rPr>
                <w:rFonts w:hint="eastAsia" w:ascii="仿宋_GB2312" w:eastAsia="仿宋_GB2312" w:cs="仿宋" w:hAnsiTheme="minorEastAsia"/>
                <w:sz w:val="24"/>
              </w:rPr>
              <w:t>证</w:t>
            </w:r>
            <w:bookmarkEnd w:id="2"/>
            <w:bookmarkEnd w:id="3"/>
            <w:r>
              <w:rPr>
                <w:rFonts w:hint="eastAsia" w:ascii="仿宋_GB2312" w:eastAsia="仿宋_GB2312" w:cs="仿宋" w:hAnsiTheme="minorEastAsia"/>
                <w:sz w:val="24"/>
              </w:rPr>
              <w:t>金</w:t>
            </w:r>
          </w:p>
        </w:tc>
      </w:tr>
    </w:tbl>
    <w:p>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pPr>
        <w:jc w:val="left"/>
        <w:rPr>
          <w:rFonts w:cs="仿宋" w:asciiTheme="minorEastAsia" w:hAnsiTheme="minorEastAsia" w:eastAsiaTheme="minorEastAsia"/>
        </w:rPr>
      </w:pPr>
    </w:p>
    <w:p>
      <w:pPr>
        <w:rPr>
          <w:rFonts w:cs="仿宋" w:asciiTheme="minorEastAsia" w:hAnsiTheme="minorEastAsia" w:eastAsiaTheme="minorEastAsia"/>
        </w:rPr>
      </w:pPr>
    </w:p>
    <w:p>
      <w:pPr>
        <w:pStyle w:val="4"/>
        <w:keepNext w:val="0"/>
        <w:rPr>
          <w:rFonts w:cs="仿宋" w:asciiTheme="minorEastAsia" w:hAnsiTheme="minorEastAsia" w:eastAsiaTheme="minorEastAsia"/>
          <w:b/>
          <w:snapToGrid w:val="0"/>
          <w:color w:val="auto"/>
          <w:kern w:val="0"/>
          <w:sz w:val="72"/>
        </w:rPr>
      </w:pPr>
    </w:p>
    <w:p>
      <w:pPr>
        <w:pStyle w:val="4"/>
        <w:keepNext w:val="0"/>
        <w:rPr>
          <w:rFonts w:cs="仿宋" w:asciiTheme="minorEastAsia" w:hAnsiTheme="minorEastAsia" w:eastAsiaTheme="minorEastAsia"/>
          <w:b/>
          <w:snapToGrid w:val="0"/>
          <w:color w:val="auto"/>
          <w:kern w:val="0"/>
          <w:sz w:val="72"/>
        </w:rPr>
      </w:pPr>
    </w:p>
    <w:p>
      <w:pPr>
        <w:pStyle w:val="4"/>
        <w:keepNext w:val="0"/>
        <w:rPr>
          <w:rFonts w:cs="仿宋" w:asciiTheme="minorEastAsia" w:hAnsiTheme="minorEastAsia" w:eastAsiaTheme="minorEastAsia"/>
          <w:b/>
          <w:snapToGrid w:val="0"/>
          <w:color w:val="auto"/>
          <w:kern w:val="0"/>
          <w:sz w:val="72"/>
        </w:rPr>
      </w:pPr>
    </w:p>
    <w:p>
      <w:pPr>
        <w:pStyle w:val="4"/>
        <w:keepNext w:val="0"/>
        <w:rPr>
          <w:rFonts w:cs="仿宋" w:asciiTheme="minorEastAsia" w:hAnsiTheme="minorEastAsia" w:eastAsiaTheme="minorEastAsia"/>
          <w:b/>
          <w:snapToGrid w:val="0"/>
          <w:color w:val="auto"/>
          <w:kern w:val="0"/>
          <w:sz w:val="72"/>
        </w:rPr>
      </w:pPr>
    </w:p>
    <w:p>
      <w:pPr>
        <w:pStyle w:val="4"/>
        <w:keepNext w:val="0"/>
        <w:rPr>
          <w:rFonts w:cs="仿宋" w:asciiTheme="minorEastAsia" w:hAnsiTheme="minorEastAsia" w:eastAsiaTheme="minorEastAsia"/>
          <w:b/>
          <w:snapToGrid w:val="0"/>
          <w:color w:val="auto"/>
          <w:kern w:val="0"/>
          <w:sz w:val="72"/>
        </w:rPr>
      </w:pPr>
    </w:p>
    <w:p>
      <w:pPr>
        <w:pStyle w:val="4"/>
        <w:keepNext w:val="0"/>
        <w:rPr>
          <w:rFonts w:cs="仿宋" w:asciiTheme="minorEastAsia" w:hAnsiTheme="minorEastAsia" w:eastAsiaTheme="minorEastAsia"/>
          <w:b/>
          <w:snapToGrid w:val="0"/>
          <w:color w:val="auto"/>
          <w:kern w:val="0"/>
          <w:sz w:val="72"/>
        </w:rPr>
      </w:pPr>
      <w:r>
        <w:rPr>
          <w:rFonts w:hint="eastAsia" w:cs="仿宋" w:asciiTheme="minorEastAsia" w:hAnsiTheme="minorEastAsia" w:eastAsiaTheme="minorEastAsia"/>
          <w:b/>
          <w:snapToGrid w:val="0"/>
          <w:color w:val="auto"/>
          <w:kern w:val="0"/>
          <w:sz w:val="96"/>
        </w:rPr>
        <w:t>采购公告</w:t>
      </w:r>
    </w:p>
    <w:p>
      <w:pPr>
        <w:rPr>
          <w:rFonts w:cs="仿宋" w:asciiTheme="minorEastAsia" w:hAnsiTheme="minorEastAsia" w:eastAsiaTheme="minorEastAsia"/>
          <w:snapToGrid w:val="0"/>
          <w:kern w:val="0"/>
          <w:szCs w:val="20"/>
        </w:rPr>
      </w:pPr>
      <w:r>
        <w:rPr>
          <w:rFonts w:hint="eastAsia" w:cs="仿宋" w:asciiTheme="minorEastAsia" w:hAnsiTheme="minorEastAsia" w:eastAsiaTheme="minorEastAsia"/>
          <w:snapToGrid w:val="0"/>
          <w:kern w:val="0"/>
        </w:rPr>
        <w:br w:type="page"/>
      </w:r>
    </w:p>
    <w:p>
      <w:pPr>
        <w:jc w:val="center"/>
        <w:rPr>
          <w:rFonts w:ascii="仿宋_GB2312" w:hAnsi="黑体" w:eastAsia="仿宋_GB2312" w:cs="仿宋"/>
          <w:b/>
          <w:bCs/>
          <w:snapToGrid w:val="0"/>
          <w:kern w:val="0"/>
          <w:sz w:val="32"/>
          <w:szCs w:val="32"/>
        </w:rPr>
      </w:pPr>
      <w:r>
        <w:rPr>
          <w:rFonts w:hint="eastAsia" w:ascii="仿宋_GB2312" w:hAnsi="黑体" w:eastAsia="仿宋_GB2312" w:cs="仿宋"/>
          <w:b/>
          <w:bCs/>
          <w:snapToGrid w:val="0"/>
          <w:kern w:val="0"/>
          <w:sz w:val="32"/>
          <w:szCs w:val="32"/>
        </w:rPr>
        <w:t>深圳地铁1号线西段警用通信系统运维项目采购公告</w:t>
      </w:r>
    </w:p>
    <w:p>
      <w:pPr>
        <w:spacing w:line="360" w:lineRule="auto"/>
        <w:rPr>
          <w:rFonts w:cs="仿宋" w:asciiTheme="minorEastAsia" w:hAnsiTheme="minorEastAsia" w:eastAsiaTheme="minorEastAsia"/>
          <w:b/>
          <w:sz w:val="24"/>
          <w:szCs w:val="24"/>
        </w:rPr>
      </w:pP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一、项目概况</w:t>
      </w:r>
    </w:p>
    <w:p>
      <w:pPr>
        <w:spacing w:line="360" w:lineRule="auto"/>
        <w:ind w:firstLine="424" w:firstLineChars="202"/>
        <w:rPr>
          <w:rFonts w:cs="仿宋" w:asciiTheme="minorEastAsia" w:hAnsiTheme="minorEastAsia" w:eastAsiaTheme="minorEastAsia"/>
          <w:bCs/>
          <w:szCs w:val="21"/>
        </w:rPr>
      </w:pPr>
      <w:r>
        <w:rPr>
          <w:rFonts w:hint="eastAsia" w:cs="仿宋" w:asciiTheme="minorEastAsia" w:hAnsiTheme="minorEastAsia" w:eastAsiaTheme="minorEastAsia"/>
          <w:bCs/>
          <w:szCs w:val="21"/>
          <w:u w:val="single"/>
        </w:rPr>
        <w:t>深圳地铁1号线西段警用通信系统运维项目</w:t>
      </w:r>
      <w:r>
        <w:rPr>
          <w:rFonts w:hint="eastAsia" w:cs="仿宋" w:asciiTheme="minorEastAsia" w:hAnsiTheme="minorEastAsia" w:eastAsiaTheme="minorEastAsia"/>
          <w:szCs w:val="21"/>
        </w:rPr>
        <w:t>的潜在投标供应商应在</w:t>
      </w:r>
      <w:r>
        <w:rPr>
          <w:rFonts w:hint="eastAsia" w:cs="仿宋" w:asciiTheme="minorEastAsia" w:hAnsiTheme="minorEastAsia" w:eastAsiaTheme="minorEastAsia"/>
          <w:szCs w:val="21"/>
          <w:u w:val="single"/>
        </w:rPr>
        <w:t>深圳市中正招标有限公司</w:t>
      </w:r>
      <w:r>
        <w:rPr>
          <w:rFonts w:hint="eastAsia" w:cs="仿宋" w:asciiTheme="minorEastAsia" w:hAnsiTheme="minorEastAsia" w:eastAsiaTheme="minorEastAsia"/>
          <w:szCs w:val="21"/>
        </w:rPr>
        <w:t>获取征集文件，并于</w:t>
      </w:r>
      <w:r>
        <w:rPr>
          <w:rFonts w:hint="eastAsia" w:cs="仿宋" w:asciiTheme="minorEastAsia" w:hAnsiTheme="minorEastAsia" w:eastAsiaTheme="minorEastAsia"/>
          <w:szCs w:val="21"/>
          <w:highlight w:val="none"/>
          <w:u w:val="single"/>
        </w:rPr>
        <w:t>2022</w:t>
      </w:r>
      <w:r>
        <w:rPr>
          <w:rFonts w:hint="eastAsia" w:cs="仿宋" w:asciiTheme="minorEastAsia" w:hAnsiTheme="minorEastAsia" w:eastAsiaTheme="minorEastAsia"/>
          <w:bCs/>
          <w:szCs w:val="21"/>
          <w:highlight w:val="none"/>
        </w:rPr>
        <w:t>年</w:t>
      </w:r>
      <w:r>
        <w:rPr>
          <w:rFonts w:hint="eastAsia" w:cs="仿宋" w:asciiTheme="minorEastAsia" w:hAnsiTheme="minorEastAsia" w:eastAsiaTheme="minorEastAsia"/>
          <w:bCs/>
          <w:szCs w:val="21"/>
          <w:highlight w:val="none"/>
          <w:u w:val="single"/>
          <w:lang w:val="en-US" w:eastAsia="zh-CN"/>
        </w:rPr>
        <w:t>12</w:t>
      </w:r>
      <w:r>
        <w:rPr>
          <w:rFonts w:hint="eastAsia" w:cs="仿宋" w:asciiTheme="minorEastAsia" w:hAnsiTheme="minorEastAsia" w:eastAsiaTheme="minorEastAsia"/>
          <w:bCs/>
          <w:szCs w:val="21"/>
          <w:highlight w:val="none"/>
        </w:rPr>
        <w:t>月</w:t>
      </w:r>
      <w:r>
        <w:rPr>
          <w:rFonts w:hint="eastAsia" w:cs="仿宋" w:asciiTheme="minorEastAsia" w:hAnsiTheme="minorEastAsia" w:eastAsiaTheme="minorEastAsia"/>
          <w:bCs/>
          <w:szCs w:val="21"/>
          <w:highlight w:val="none"/>
          <w:u w:val="single"/>
          <w:lang w:val="en-US" w:eastAsia="zh-CN"/>
        </w:rPr>
        <w:t>28</w:t>
      </w:r>
      <w:r>
        <w:rPr>
          <w:rFonts w:hint="eastAsia" w:cs="仿宋" w:asciiTheme="minorEastAsia" w:hAnsiTheme="minorEastAsia" w:eastAsiaTheme="minorEastAsia"/>
          <w:bCs/>
          <w:szCs w:val="21"/>
          <w:highlight w:val="none"/>
        </w:rPr>
        <w:t>日</w:t>
      </w:r>
      <w:r>
        <w:rPr>
          <w:rFonts w:hint="eastAsia" w:cs="仿宋" w:asciiTheme="minorEastAsia" w:hAnsiTheme="minorEastAsia" w:eastAsiaTheme="minorEastAsia"/>
          <w:bCs/>
          <w:szCs w:val="21"/>
          <w:highlight w:val="none"/>
          <w:u w:val="single"/>
        </w:rPr>
        <w:t>15</w:t>
      </w:r>
      <w:r>
        <w:rPr>
          <w:rFonts w:hint="eastAsia" w:cs="仿宋" w:asciiTheme="minorEastAsia" w:hAnsiTheme="minorEastAsia" w:eastAsiaTheme="minorEastAsia"/>
          <w:bCs/>
          <w:szCs w:val="21"/>
          <w:highlight w:val="none"/>
        </w:rPr>
        <w:t>点</w:t>
      </w:r>
      <w:r>
        <w:rPr>
          <w:rFonts w:hint="eastAsia" w:cs="仿宋" w:asciiTheme="minorEastAsia" w:hAnsiTheme="minorEastAsia" w:eastAsiaTheme="minorEastAsia"/>
          <w:bCs/>
          <w:szCs w:val="21"/>
          <w:highlight w:val="none"/>
          <w:u w:val="single"/>
        </w:rPr>
        <w:t>00</w:t>
      </w:r>
      <w:r>
        <w:rPr>
          <w:rFonts w:hint="eastAsia" w:cs="仿宋" w:asciiTheme="minorEastAsia" w:hAnsiTheme="minorEastAsia" w:eastAsiaTheme="minorEastAsia"/>
          <w:bCs/>
          <w:szCs w:val="21"/>
          <w:highlight w:val="none"/>
        </w:rPr>
        <w:t>分</w:t>
      </w:r>
      <w:r>
        <w:rPr>
          <w:rFonts w:hint="eastAsia" w:cs="仿宋" w:asciiTheme="minorEastAsia" w:hAnsiTheme="minorEastAsia" w:eastAsiaTheme="minorEastAsia"/>
          <w:bCs/>
          <w:szCs w:val="21"/>
        </w:rPr>
        <w:t>（北京时间）前递交投标文件。</w:t>
      </w:r>
    </w:p>
    <w:p>
      <w:pPr>
        <w:spacing w:line="360" w:lineRule="auto"/>
        <w:rPr>
          <w:rFonts w:cs="仿宋" w:asciiTheme="minorEastAsia" w:hAnsiTheme="minorEastAsia" w:eastAsiaTheme="minorEastAsia"/>
          <w:b/>
          <w:bCs/>
          <w:szCs w:val="21"/>
        </w:rPr>
      </w:pP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二、项目基本情况</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1、项目编号：SZZZ2022-QC0510</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2、项目名称：深圳地铁1号线西段警用通信系统运维项目</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3、预算金额：人民币55.231684万元</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4、最高限价：人民币55.231684万元</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5、采购方式：公开征集</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6、采购需求：</w:t>
      </w:r>
    </w:p>
    <w:tbl>
      <w:tblPr>
        <w:tblStyle w:val="18"/>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4388"/>
        <w:gridCol w:w="934"/>
        <w:gridCol w:w="202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pct"/>
            <w:shd w:val="clear" w:color="auto" w:fill="C6D9F1"/>
            <w:vAlign w:val="center"/>
          </w:tcPr>
          <w:p>
            <w:pPr>
              <w:spacing w:line="360" w:lineRule="auto"/>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序号</w:t>
            </w:r>
          </w:p>
        </w:tc>
        <w:tc>
          <w:tcPr>
            <w:tcW w:w="2574" w:type="pct"/>
            <w:shd w:val="clear" w:color="auto" w:fill="C6D9F1"/>
            <w:vAlign w:val="center"/>
          </w:tcPr>
          <w:p>
            <w:pPr>
              <w:spacing w:line="360" w:lineRule="auto"/>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标的名称</w:t>
            </w:r>
          </w:p>
        </w:tc>
        <w:tc>
          <w:tcPr>
            <w:tcW w:w="548" w:type="pct"/>
            <w:shd w:val="clear" w:color="auto" w:fill="C6D9F1"/>
            <w:vAlign w:val="center"/>
          </w:tcPr>
          <w:p>
            <w:pPr>
              <w:spacing w:line="360" w:lineRule="auto"/>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数量</w:t>
            </w:r>
          </w:p>
        </w:tc>
        <w:tc>
          <w:tcPr>
            <w:tcW w:w="1189" w:type="pct"/>
            <w:shd w:val="clear" w:color="auto" w:fill="C6D9F1"/>
            <w:vAlign w:val="center"/>
          </w:tcPr>
          <w:p>
            <w:pPr>
              <w:spacing w:line="360" w:lineRule="auto"/>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简要技术需求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462" w:hRule="atLeast"/>
          <w:jc w:val="center"/>
        </w:trPr>
        <w:tc>
          <w:tcPr>
            <w:tcW w:w="686" w:type="pct"/>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w:t>
            </w:r>
          </w:p>
        </w:tc>
        <w:tc>
          <w:tcPr>
            <w:tcW w:w="2574" w:type="pct"/>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深圳地铁1号线西段警用通信系统运维项目</w:t>
            </w:r>
          </w:p>
        </w:tc>
        <w:tc>
          <w:tcPr>
            <w:tcW w:w="548" w:type="pct"/>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1项</w:t>
            </w:r>
          </w:p>
        </w:tc>
        <w:tc>
          <w:tcPr>
            <w:tcW w:w="1189" w:type="pct"/>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详见附件内容</w:t>
            </w:r>
          </w:p>
        </w:tc>
      </w:tr>
    </w:tbl>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7、合同履行期限：详见征集文件。</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8、是否联合体：本项目不接受联合体投标。</w:t>
      </w:r>
    </w:p>
    <w:p>
      <w:pPr>
        <w:spacing w:line="360" w:lineRule="auto"/>
        <w:rPr>
          <w:rFonts w:cs="仿宋" w:asciiTheme="minorEastAsia" w:hAnsiTheme="minorEastAsia" w:eastAsiaTheme="minorEastAsia"/>
          <w:b/>
          <w:bCs/>
          <w:szCs w:val="21"/>
        </w:rPr>
      </w:pP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三、申请人的资格要求</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须是在中华人民共和国境内注册的法人或其他组织，分公司投标的，需提供总公司授权证明【须提供合法有效的营业执照或法人证书等证明材料的扫描件或复印件加盖投标供应商公章或总公司授权证明，原件备查】；</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2、参与本项目的投标供应商须满足《中华人民共和国政府采购法》第二十二条规定【由投标供应商按征集文件规定的格式在《承诺函》中作出声明】；</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3、参与本项目采购活动前三年内，在经营活动中没有重大违法记录【由投标供应商按征集文件规定的格式在《承诺函》中作出声明】；</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4、参与本项目政府采购活动时不存在被有关部门禁止参与政府采购活动且在有效期内的情况【由投标供应商按征集文件规定的格式在《承诺函》中作出声明】；</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5、除单一来源采购项目外，为采购项目提供整体设计、规范编制或者项目管理、监理、检测等服务的供应商，不得再参加该采购项目的其他采购活动【须按本项目征集文件格式要求提供《承诺函》加盖投标供应商公章】；</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6、单位负责人为同一人或者存在直接控股、管理关系的不同投标供应商，不得参加同一合同项下的采购活动【须</w:t>
      </w:r>
      <w:r>
        <w:rPr>
          <w:rFonts w:hint="eastAsia" w:asciiTheme="minorEastAsia" w:hAnsiTheme="minorEastAsia" w:eastAsiaTheme="minorEastAsia"/>
          <w:snapToGrid w:val="0"/>
        </w:rPr>
        <w:t>提供国家企业信用信息公示系统（https://www.gsxt.gov.cn/index.html）或机关赋码和事业单位登记管理网（http://www.gjsy.gov.cn/sydwfrxxcx/）或全国社会组织信用信息公示平台（https://xxgs.chinanpo.mca.gov.cn/gsxt/newList）网站供应商信息查询截图，并</w:t>
      </w:r>
      <w:r>
        <w:rPr>
          <w:rFonts w:hint="eastAsia" w:cs="仿宋" w:asciiTheme="minorEastAsia" w:hAnsiTheme="minorEastAsia" w:eastAsiaTheme="minorEastAsia"/>
          <w:bCs/>
          <w:szCs w:val="21"/>
        </w:rPr>
        <w:t>按本项目征集文件格式要求提供《承诺函》加盖投标供应商公章】；</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7、参与本项目的投标供应商未被列入失信被执行人、重大税收违法案件当事人名单和政府采购严重违法失信行为记录名单【“信用中国”（www.creditchina.gov.cn）“信用服务”栏的“重大税收违法失信主体”、“失信被执行人”，“中国政府采购”（www.ccgp.gov.cn）“政府采购严重违法失信行为记录名单”，“深圳信用网”（www.szcredit.com.cn）以及“深圳市政府采购监管网”（http://zfcg.sz.gov.cn）为信用信息查询渠道。投标供应商自行查询并提供查询结果截图，查询时间为本项目采购公告发布之日起至投标截止时间前】；</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8、本项目不接受联合体投标，不允许分包或转包。</w:t>
      </w:r>
    </w:p>
    <w:p>
      <w:pPr>
        <w:spacing w:line="360" w:lineRule="auto"/>
        <w:ind w:firstLine="371" w:firstLineChars="177"/>
        <w:rPr>
          <w:rFonts w:cs="仿宋" w:asciiTheme="minorEastAsia" w:hAnsiTheme="minorEastAsia" w:eastAsiaTheme="minorEastAsia"/>
          <w:bCs/>
          <w:szCs w:val="21"/>
        </w:rPr>
      </w:pP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四、获取征集文件</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1、时间：</w:t>
      </w:r>
      <w:r>
        <w:rPr>
          <w:rFonts w:hint="eastAsia" w:cs="仿宋" w:asciiTheme="minorEastAsia" w:hAnsiTheme="minorEastAsia" w:eastAsiaTheme="minorEastAsia"/>
          <w:b/>
          <w:bCs/>
          <w:szCs w:val="21"/>
          <w:highlight w:val="yellow"/>
          <w:u w:val="single"/>
        </w:rPr>
        <w:t>2022</w:t>
      </w:r>
      <w:r>
        <w:rPr>
          <w:rFonts w:hint="eastAsia" w:cs="仿宋" w:asciiTheme="minorEastAsia" w:hAnsiTheme="minorEastAsia" w:eastAsiaTheme="minorEastAsia"/>
          <w:b/>
          <w:bCs/>
          <w:szCs w:val="21"/>
          <w:highlight w:val="yellow"/>
        </w:rPr>
        <w:t>年</w:t>
      </w:r>
      <w:r>
        <w:rPr>
          <w:rFonts w:hint="eastAsia" w:cs="仿宋" w:asciiTheme="minorEastAsia" w:hAnsiTheme="minorEastAsia" w:eastAsiaTheme="minorEastAsia"/>
          <w:b/>
          <w:bCs/>
          <w:szCs w:val="21"/>
          <w:highlight w:val="yellow"/>
          <w:u w:val="single"/>
          <w:lang w:val="en-US" w:eastAsia="zh-CN"/>
        </w:rPr>
        <w:t>12</w:t>
      </w:r>
      <w:r>
        <w:rPr>
          <w:rFonts w:hint="eastAsia" w:cs="仿宋" w:asciiTheme="minorEastAsia" w:hAnsiTheme="minorEastAsia" w:eastAsiaTheme="minorEastAsia"/>
          <w:b/>
          <w:bCs/>
          <w:szCs w:val="21"/>
          <w:highlight w:val="yellow"/>
        </w:rPr>
        <w:t>月</w:t>
      </w:r>
      <w:r>
        <w:rPr>
          <w:rFonts w:hint="eastAsia" w:cs="仿宋" w:asciiTheme="minorEastAsia" w:hAnsiTheme="minorEastAsia" w:eastAsiaTheme="minorEastAsia"/>
          <w:b/>
          <w:bCs/>
          <w:szCs w:val="21"/>
          <w:highlight w:val="yellow"/>
          <w:u w:val="single"/>
          <w:lang w:val="en-US" w:eastAsia="zh-CN"/>
        </w:rPr>
        <w:t>20</w:t>
      </w:r>
      <w:r>
        <w:rPr>
          <w:rFonts w:hint="eastAsia" w:cs="仿宋" w:asciiTheme="minorEastAsia" w:hAnsiTheme="minorEastAsia" w:eastAsiaTheme="minorEastAsia"/>
          <w:b/>
          <w:bCs/>
          <w:szCs w:val="21"/>
          <w:highlight w:val="yellow"/>
        </w:rPr>
        <w:t>日至</w:t>
      </w:r>
      <w:r>
        <w:rPr>
          <w:rFonts w:hint="eastAsia" w:cs="仿宋" w:asciiTheme="minorEastAsia" w:hAnsiTheme="minorEastAsia" w:eastAsiaTheme="minorEastAsia"/>
          <w:b/>
          <w:bCs/>
          <w:szCs w:val="21"/>
          <w:highlight w:val="yellow"/>
          <w:u w:val="single"/>
        </w:rPr>
        <w:t>2022</w:t>
      </w:r>
      <w:r>
        <w:rPr>
          <w:rFonts w:hint="eastAsia" w:cs="仿宋" w:asciiTheme="minorEastAsia" w:hAnsiTheme="minorEastAsia" w:eastAsiaTheme="minorEastAsia"/>
          <w:b/>
          <w:bCs/>
          <w:szCs w:val="21"/>
          <w:highlight w:val="yellow"/>
        </w:rPr>
        <w:t>年</w:t>
      </w:r>
      <w:r>
        <w:rPr>
          <w:rFonts w:hint="eastAsia" w:cs="仿宋" w:asciiTheme="minorEastAsia" w:hAnsiTheme="minorEastAsia" w:eastAsiaTheme="minorEastAsia"/>
          <w:b/>
          <w:bCs/>
          <w:szCs w:val="21"/>
          <w:highlight w:val="yellow"/>
          <w:u w:val="single"/>
          <w:lang w:val="en-US" w:eastAsia="zh-CN"/>
        </w:rPr>
        <w:t>12</w:t>
      </w:r>
      <w:r>
        <w:rPr>
          <w:rFonts w:hint="eastAsia" w:cs="仿宋" w:asciiTheme="minorEastAsia" w:hAnsiTheme="minorEastAsia" w:eastAsiaTheme="minorEastAsia"/>
          <w:b/>
          <w:bCs/>
          <w:szCs w:val="21"/>
          <w:highlight w:val="yellow"/>
        </w:rPr>
        <w:t>月</w:t>
      </w:r>
      <w:r>
        <w:rPr>
          <w:rFonts w:hint="eastAsia" w:cs="仿宋" w:asciiTheme="minorEastAsia" w:hAnsiTheme="minorEastAsia" w:eastAsiaTheme="minorEastAsia"/>
          <w:b/>
          <w:bCs/>
          <w:szCs w:val="21"/>
          <w:highlight w:val="yellow"/>
          <w:u w:val="single"/>
          <w:lang w:val="en-US" w:eastAsia="zh-CN"/>
        </w:rPr>
        <w:t>27</w:t>
      </w:r>
      <w:r>
        <w:rPr>
          <w:rFonts w:hint="eastAsia" w:cs="仿宋" w:asciiTheme="minorEastAsia" w:hAnsiTheme="minorEastAsia" w:eastAsiaTheme="minorEastAsia"/>
          <w:b/>
          <w:bCs/>
          <w:szCs w:val="21"/>
          <w:highlight w:val="yellow"/>
        </w:rPr>
        <w:t>日</w:t>
      </w:r>
      <w:r>
        <w:rPr>
          <w:rFonts w:hint="eastAsia" w:cs="仿宋" w:asciiTheme="minorEastAsia" w:hAnsiTheme="minorEastAsia" w:eastAsiaTheme="minorEastAsia"/>
          <w:b/>
          <w:bCs/>
          <w:szCs w:val="21"/>
          <w:highlight w:val="yellow"/>
          <w:u w:val="single"/>
          <w:lang w:val="en-US" w:eastAsia="zh-CN"/>
        </w:rPr>
        <w:t>17</w:t>
      </w:r>
      <w:r>
        <w:rPr>
          <w:rFonts w:hint="eastAsia" w:cs="仿宋" w:asciiTheme="minorEastAsia" w:hAnsiTheme="minorEastAsia" w:eastAsiaTheme="minorEastAsia"/>
          <w:b/>
          <w:bCs/>
          <w:szCs w:val="21"/>
          <w:highlight w:val="yellow"/>
        </w:rPr>
        <w:t>点</w:t>
      </w:r>
      <w:r>
        <w:rPr>
          <w:rFonts w:hint="eastAsia" w:cs="仿宋" w:asciiTheme="minorEastAsia" w:hAnsiTheme="minorEastAsia" w:eastAsiaTheme="minorEastAsia"/>
          <w:b/>
          <w:bCs/>
          <w:szCs w:val="21"/>
          <w:highlight w:val="yellow"/>
          <w:u w:val="single"/>
          <w:lang w:val="en-US" w:eastAsia="zh-CN"/>
        </w:rPr>
        <w:t>30</w:t>
      </w:r>
      <w:r>
        <w:rPr>
          <w:rFonts w:hint="eastAsia" w:cs="仿宋" w:asciiTheme="minorEastAsia" w:hAnsiTheme="minorEastAsia" w:eastAsiaTheme="minorEastAsia"/>
          <w:b/>
          <w:bCs/>
          <w:szCs w:val="21"/>
          <w:highlight w:val="yellow"/>
        </w:rPr>
        <w:t>分截止</w:t>
      </w:r>
      <w:r>
        <w:rPr>
          <w:rFonts w:hint="eastAsia" w:cs="仿宋" w:asciiTheme="minorEastAsia" w:hAnsiTheme="minorEastAsia" w:eastAsiaTheme="minorEastAsia"/>
          <w:bCs/>
          <w:szCs w:val="21"/>
        </w:rPr>
        <w:t>，每天上午</w:t>
      </w:r>
      <w:r>
        <w:rPr>
          <w:rFonts w:hint="eastAsia" w:cs="仿宋" w:asciiTheme="minorEastAsia" w:hAnsiTheme="minorEastAsia" w:eastAsiaTheme="minorEastAsia"/>
          <w:bCs/>
          <w:szCs w:val="21"/>
          <w:u w:val="single"/>
        </w:rPr>
        <w:t>09</w:t>
      </w:r>
      <w:r>
        <w:rPr>
          <w:rFonts w:hint="eastAsia" w:cs="仿宋" w:asciiTheme="minorEastAsia" w:hAnsiTheme="minorEastAsia" w:eastAsiaTheme="minorEastAsia"/>
          <w:bCs/>
          <w:szCs w:val="21"/>
        </w:rPr>
        <w:t>时至</w:t>
      </w:r>
      <w:r>
        <w:rPr>
          <w:rFonts w:hint="eastAsia" w:cs="仿宋" w:asciiTheme="minorEastAsia" w:hAnsiTheme="minorEastAsia" w:eastAsiaTheme="minorEastAsia"/>
          <w:bCs/>
          <w:szCs w:val="21"/>
          <w:u w:val="single"/>
        </w:rPr>
        <w:t>11</w:t>
      </w:r>
      <w:r>
        <w:rPr>
          <w:rFonts w:hint="eastAsia" w:cs="仿宋" w:asciiTheme="minorEastAsia" w:hAnsiTheme="minorEastAsia" w:eastAsiaTheme="minorEastAsia"/>
          <w:bCs/>
          <w:szCs w:val="21"/>
        </w:rPr>
        <w:t>时</w:t>
      </w:r>
      <w:r>
        <w:rPr>
          <w:rFonts w:hint="eastAsia" w:cs="仿宋" w:asciiTheme="minorEastAsia" w:hAnsiTheme="minorEastAsia" w:eastAsiaTheme="minorEastAsia"/>
          <w:bCs/>
          <w:szCs w:val="21"/>
          <w:u w:val="single"/>
        </w:rPr>
        <w:t>30</w:t>
      </w:r>
      <w:r>
        <w:rPr>
          <w:rFonts w:hint="eastAsia" w:cs="仿宋" w:asciiTheme="minorEastAsia" w:hAnsiTheme="minorEastAsia" w:eastAsiaTheme="minorEastAsia"/>
          <w:bCs/>
          <w:szCs w:val="21"/>
        </w:rPr>
        <w:t>分，下午</w:t>
      </w:r>
      <w:r>
        <w:rPr>
          <w:rFonts w:hint="eastAsia" w:cs="仿宋" w:asciiTheme="minorEastAsia" w:hAnsiTheme="minorEastAsia" w:eastAsiaTheme="minorEastAsia"/>
          <w:bCs/>
          <w:szCs w:val="21"/>
          <w:u w:val="single"/>
        </w:rPr>
        <w:t>02</w:t>
      </w:r>
      <w:r>
        <w:rPr>
          <w:rFonts w:hint="eastAsia" w:cs="仿宋" w:asciiTheme="minorEastAsia" w:hAnsiTheme="minorEastAsia" w:eastAsiaTheme="minorEastAsia"/>
          <w:bCs/>
          <w:szCs w:val="21"/>
        </w:rPr>
        <w:t>时</w:t>
      </w:r>
      <w:r>
        <w:rPr>
          <w:rFonts w:hint="eastAsia" w:cs="仿宋" w:asciiTheme="minorEastAsia" w:hAnsiTheme="minorEastAsia" w:eastAsiaTheme="minorEastAsia"/>
          <w:bCs/>
          <w:szCs w:val="21"/>
          <w:u w:val="single"/>
        </w:rPr>
        <w:t>30</w:t>
      </w:r>
      <w:r>
        <w:rPr>
          <w:rFonts w:hint="eastAsia" w:cs="仿宋" w:asciiTheme="minorEastAsia" w:hAnsiTheme="minorEastAsia" w:eastAsiaTheme="minorEastAsia"/>
          <w:bCs/>
          <w:szCs w:val="21"/>
        </w:rPr>
        <w:t>分至</w:t>
      </w:r>
      <w:r>
        <w:rPr>
          <w:rFonts w:hint="eastAsia" w:cs="仿宋" w:asciiTheme="minorEastAsia" w:hAnsiTheme="minorEastAsia" w:eastAsiaTheme="minorEastAsia"/>
          <w:bCs/>
          <w:szCs w:val="21"/>
          <w:u w:val="single"/>
        </w:rPr>
        <w:t>05</w:t>
      </w:r>
      <w:r>
        <w:rPr>
          <w:rFonts w:hint="eastAsia" w:cs="仿宋" w:asciiTheme="minorEastAsia" w:hAnsiTheme="minorEastAsia" w:eastAsiaTheme="minorEastAsia"/>
          <w:bCs/>
          <w:szCs w:val="21"/>
        </w:rPr>
        <w:t>时</w:t>
      </w:r>
      <w:r>
        <w:rPr>
          <w:rFonts w:hint="eastAsia" w:cs="仿宋" w:asciiTheme="minorEastAsia" w:hAnsiTheme="minorEastAsia" w:eastAsiaTheme="minorEastAsia"/>
          <w:bCs/>
          <w:szCs w:val="21"/>
          <w:u w:val="single"/>
        </w:rPr>
        <w:t>30</w:t>
      </w:r>
      <w:r>
        <w:rPr>
          <w:rFonts w:hint="eastAsia" w:cs="仿宋" w:asciiTheme="minorEastAsia" w:hAnsiTheme="minorEastAsia" w:eastAsiaTheme="minorEastAsia"/>
          <w:bCs/>
          <w:szCs w:val="21"/>
        </w:rPr>
        <w:t>分（北京时间，法定节假日除外）</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2、地点：深圳市福田区民田路171号新华保险大厦903中正招标（中正官网www.szzzt.com）</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3、方式：现场报名投标或网上报名投标</w:t>
      </w:r>
    </w:p>
    <w:p>
      <w:pPr>
        <w:spacing w:line="360" w:lineRule="auto"/>
        <w:ind w:left="2" w:firstLine="365" w:firstLineChars="174"/>
        <w:rPr>
          <w:rFonts w:cs="仿宋" w:asciiTheme="minorEastAsia" w:hAnsiTheme="minorEastAsia" w:eastAsiaTheme="minorEastAsia"/>
          <w:bCs/>
          <w:szCs w:val="21"/>
        </w:rPr>
      </w:pPr>
      <w:r>
        <w:rPr>
          <w:rFonts w:hint="eastAsia" w:cs="仿宋" w:asciiTheme="minorEastAsia" w:hAnsiTheme="minorEastAsia" w:eastAsiaTheme="minorEastAsia"/>
          <w:bCs/>
          <w:szCs w:val="21"/>
        </w:rPr>
        <w:t>备注：① 现场报名投标：须携带营业执照复印件或扫描件和法人授权委托书原件（均加盖公章）。</w:t>
      </w:r>
    </w:p>
    <w:p>
      <w:pPr>
        <w:spacing w:line="360" w:lineRule="auto"/>
        <w:ind w:left="2" w:firstLine="365" w:firstLineChars="174"/>
        <w:rPr>
          <w:rFonts w:cs="仿宋" w:asciiTheme="minorEastAsia" w:hAnsiTheme="minorEastAsia" w:eastAsiaTheme="minorEastAsia"/>
          <w:bCs/>
          <w:szCs w:val="21"/>
        </w:rPr>
      </w:pPr>
      <w:r>
        <w:rPr>
          <w:rFonts w:hint="eastAsia" w:cs="仿宋" w:asciiTheme="minorEastAsia" w:hAnsiTheme="minorEastAsia" w:eastAsiaTheme="minorEastAsia"/>
          <w:bCs/>
          <w:szCs w:val="21"/>
        </w:rPr>
        <w:t>② 网上报名投标：发送报名资料至我司邮箱进行报名登记及获取征集文件，邮箱地址：qtszzzzb@163.com。</w:t>
      </w:r>
    </w:p>
    <w:p>
      <w:pPr>
        <w:spacing w:line="360" w:lineRule="auto"/>
        <w:ind w:left="2" w:firstLine="365" w:firstLineChars="174"/>
        <w:rPr>
          <w:rFonts w:cs="仿宋" w:asciiTheme="minorEastAsia" w:hAnsiTheme="minorEastAsia" w:eastAsiaTheme="minorEastAsia"/>
          <w:bCs/>
          <w:szCs w:val="21"/>
        </w:rPr>
      </w:pPr>
      <w:r>
        <w:rPr>
          <w:rFonts w:hint="eastAsia" w:cs="仿宋" w:asciiTheme="minorEastAsia" w:hAnsiTheme="minorEastAsia" w:eastAsiaTheme="minorEastAsia"/>
          <w:bCs/>
          <w:szCs w:val="21"/>
        </w:rPr>
        <w:t>报名投标邮件需附以下资料: 1）加盖公章的《购买标书登记表》（下载地址：“www.szzzt.com”首页“下载中心”）；2）加盖公章的营业执照复印件扫描件；3）法人授权委托书扫描件；4）购买征集文件费用银行转帐凭证。报名时间以邮件发出时间为准，工作人员将在第二个工作日与报名投标资料完整的投标供应商联系。</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4、售价：人民币600元，征集文件售后不退。</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购买征集文件账号信息如下：</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银行账号：0300372955.2316843</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开户名称：深圳市中正招标有限公司</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开户银行：上海银行深圳天安支行</w:t>
      </w:r>
    </w:p>
    <w:p>
      <w:pPr>
        <w:spacing w:line="360" w:lineRule="auto"/>
        <w:ind w:firstLine="371" w:firstLineChars="177"/>
        <w:rPr>
          <w:rFonts w:cs="仿宋" w:asciiTheme="minorEastAsia" w:hAnsiTheme="minorEastAsia" w:eastAsiaTheme="minorEastAsia"/>
          <w:bCs/>
          <w:szCs w:val="21"/>
        </w:rPr>
      </w:pP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五、提交投标文件截止时间、开标时间和地点</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1、时间：</w:t>
      </w:r>
      <w:r>
        <w:rPr>
          <w:rFonts w:hint="eastAsia" w:cs="仿宋" w:asciiTheme="minorEastAsia" w:hAnsiTheme="minorEastAsia" w:eastAsiaTheme="minorEastAsia"/>
          <w:b/>
          <w:bCs/>
          <w:szCs w:val="21"/>
          <w:highlight w:val="yellow"/>
          <w:u w:val="single"/>
        </w:rPr>
        <w:t>2022</w:t>
      </w:r>
      <w:r>
        <w:rPr>
          <w:rFonts w:hint="eastAsia" w:cs="仿宋" w:asciiTheme="minorEastAsia" w:hAnsiTheme="minorEastAsia" w:eastAsiaTheme="minorEastAsia"/>
          <w:b/>
          <w:bCs/>
          <w:szCs w:val="21"/>
          <w:highlight w:val="yellow"/>
        </w:rPr>
        <w:t>年</w:t>
      </w:r>
      <w:r>
        <w:rPr>
          <w:rFonts w:hint="eastAsia" w:cs="仿宋" w:asciiTheme="minorEastAsia" w:hAnsiTheme="minorEastAsia" w:eastAsiaTheme="minorEastAsia"/>
          <w:b/>
          <w:bCs/>
          <w:szCs w:val="21"/>
          <w:highlight w:val="yellow"/>
          <w:u w:val="single"/>
          <w:lang w:val="en-US" w:eastAsia="zh-CN"/>
        </w:rPr>
        <w:t>12</w:t>
      </w:r>
      <w:r>
        <w:rPr>
          <w:rFonts w:hint="eastAsia" w:cs="仿宋" w:asciiTheme="minorEastAsia" w:hAnsiTheme="minorEastAsia" w:eastAsiaTheme="minorEastAsia"/>
          <w:b/>
          <w:bCs/>
          <w:szCs w:val="21"/>
          <w:highlight w:val="yellow"/>
        </w:rPr>
        <w:t>月</w:t>
      </w:r>
      <w:r>
        <w:rPr>
          <w:rFonts w:hint="eastAsia" w:cs="仿宋" w:asciiTheme="minorEastAsia" w:hAnsiTheme="minorEastAsia" w:eastAsiaTheme="minorEastAsia"/>
          <w:b/>
          <w:bCs/>
          <w:szCs w:val="21"/>
          <w:highlight w:val="yellow"/>
          <w:u w:val="single"/>
          <w:lang w:val="en-US" w:eastAsia="zh-CN"/>
        </w:rPr>
        <w:t>28</w:t>
      </w:r>
      <w:r>
        <w:rPr>
          <w:rFonts w:hint="eastAsia" w:cs="仿宋" w:asciiTheme="minorEastAsia" w:hAnsiTheme="minorEastAsia" w:eastAsiaTheme="minorEastAsia"/>
          <w:b/>
          <w:bCs/>
          <w:szCs w:val="21"/>
          <w:highlight w:val="yellow"/>
        </w:rPr>
        <w:t>日</w:t>
      </w:r>
      <w:r>
        <w:rPr>
          <w:rFonts w:hint="eastAsia" w:cs="仿宋" w:asciiTheme="minorEastAsia" w:hAnsiTheme="minorEastAsia" w:eastAsiaTheme="minorEastAsia"/>
          <w:b/>
          <w:bCs/>
          <w:szCs w:val="21"/>
          <w:highlight w:val="yellow"/>
          <w:u w:val="single"/>
          <w:lang w:val="en-US" w:eastAsia="zh-CN"/>
        </w:rPr>
        <w:t>15</w:t>
      </w:r>
      <w:r>
        <w:rPr>
          <w:rFonts w:hint="eastAsia" w:cs="仿宋" w:asciiTheme="minorEastAsia" w:hAnsiTheme="minorEastAsia" w:eastAsiaTheme="minorEastAsia"/>
          <w:b/>
          <w:bCs/>
          <w:szCs w:val="21"/>
          <w:highlight w:val="yellow"/>
        </w:rPr>
        <w:t>点</w:t>
      </w:r>
      <w:r>
        <w:rPr>
          <w:rFonts w:hint="eastAsia" w:cs="仿宋" w:asciiTheme="minorEastAsia" w:hAnsiTheme="minorEastAsia" w:eastAsiaTheme="minorEastAsia"/>
          <w:b/>
          <w:bCs/>
          <w:szCs w:val="21"/>
          <w:highlight w:val="yellow"/>
          <w:u w:val="single"/>
          <w:lang w:val="en-US" w:eastAsia="zh-CN"/>
        </w:rPr>
        <w:t>00</w:t>
      </w:r>
      <w:r>
        <w:rPr>
          <w:rFonts w:hint="eastAsia" w:cs="仿宋" w:asciiTheme="minorEastAsia" w:hAnsiTheme="minorEastAsia" w:eastAsiaTheme="minorEastAsia"/>
          <w:b/>
          <w:bCs/>
          <w:szCs w:val="21"/>
          <w:highlight w:val="yellow"/>
        </w:rPr>
        <w:t>分</w:t>
      </w:r>
      <w:r>
        <w:rPr>
          <w:rFonts w:hint="eastAsia" w:cs="仿宋" w:asciiTheme="minorEastAsia" w:hAnsiTheme="minorEastAsia" w:eastAsiaTheme="minorEastAsia"/>
          <w:bCs/>
          <w:szCs w:val="21"/>
        </w:rPr>
        <w:t>（北京时间）</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2、地点：深圳市福田区民田路171号新华保险大厦903中正招标</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备注：投标供应商可以通过快递方式在投标截止时间前将《投标文件》送达到我司，快递单上应清晰写明投标供应商名称、项目编号和项目名称，递交时间为送达我司由我司工作人员签收的时间；投标供应商未参加现场开标的，视同认可开标结果。</w:t>
      </w:r>
    </w:p>
    <w:p>
      <w:pPr>
        <w:spacing w:line="360" w:lineRule="auto"/>
        <w:rPr>
          <w:rFonts w:cs="仿宋" w:asciiTheme="minorEastAsia" w:hAnsiTheme="minorEastAsia" w:eastAsiaTheme="minorEastAsia"/>
          <w:bCs/>
          <w:szCs w:val="21"/>
        </w:rPr>
      </w:pP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六、公告期限</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自本公告发布之日起5个工作日</w:t>
      </w:r>
    </w:p>
    <w:p>
      <w:pPr>
        <w:spacing w:line="360" w:lineRule="auto"/>
        <w:rPr>
          <w:rFonts w:cs="仿宋" w:asciiTheme="minorEastAsia" w:hAnsiTheme="minorEastAsia" w:eastAsiaTheme="minorEastAsia"/>
          <w:bCs/>
          <w:szCs w:val="21"/>
        </w:rPr>
      </w:pP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七、其他补充事宜</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本项目需要落实的政府采购政策：《财政部工业和信息化部关于印发《政府采购促进中小企业发展管理办法》的通知》(财库〔2020〕46号)、《关于政府采购支持监狱企业发展有关问题的通知》(财库〔2014〕68号)、《关于促进残疾人就业政府采购政策的通知》（财库〔2017〕141号)。</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2、本项目相关公告在以下媒体发布：</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① 深圳公共资源交易中心网（www.szzfcg.cn）</w:t>
      </w:r>
    </w:p>
    <w:p>
      <w:pPr>
        <w:spacing w:line="360" w:lineRule="auto"/>
        <w:ind w:firstLine="371" w:firstLineChars="177"/>
        <w:rPr>
          <w:rFonts w:cs="仿宋" w:asciiTheme="minorEastAsia" w:hAnsiTheme="minorEastAsia" w:eastAsiaTheme="minorEastAsia"/>
          <w:bCs/>
          <w:szCs w:val="21"/>
        </w:rPr>
      </w:pPr>
      <w:r>
        <w:rPr>
          <w:rFonts w:cs="仿宋" w:asciiTheme="minorEastAsia" w:hAnsiTheme="minorEastAsia" w:eastAsiaTheme="minorEastAsia"/>
          <w:bCs/>
          <w:szCs w:val="21"/>
        </w:rPr>
        <w:fldChar w:fldCharType="begin"/>
      </w:r>
      <w:r>
        <w:rPr>
          <w:rFonts w:cs="仿宋" w:asciiTheme="minorEastAsia" w:hAnsiTheme="minorEastAsia" w:eastAsiaTheme="minorEastAsia"/>
          <w:bCs/>
          <w:szCs w:val="21"/>
        </w:rPr>
        <w:instrText xml:space="preserve"> </w:instrText>
      </w:r>
      <w:r>
        <w:rPr>
          <w:rFonts w:hint="eastAsia" w:cs="仿宋" w:asciiTheme="minorEastAsia" w:hAnsiTheme="minorEastAsia" w:eastAsiaTheme="minorEastAsia"/>
          <w:bCs/>
          <w:szCs w:val="21"/>
        </w:rPr>
        <w:instrText xml:space="preserve">= 2 \* GB3</w:instrText>
      </w:r>
      <w:r>
        <w:rPr>
          <w:rFonts w:cs="仿宋" w:asciiTheme="minorEastAsia" w:hAnsiTheme="minorEastAsia" w:eastAsiaTheme="minorEastAsia"/>
          <w:bCs/>
          <w:szCs w:val="21"/>
        </w:rPr>
        <w:instrText xml:space="preserve"> </w:instrText>
      </w:r>
      <w:r>
        <w:rPr>
          <w:rFonts w:cs="仿宋" w:asciiTheme="minorEastAsia" w:hAnsiTheme="minorEastAsia" w:eastAsiaTheme="minorEastAsia"/>
          <w:bCs/>
          <w:szCs w:val="21"/>
        </w:rPr>
        <w:fldChar w:fldCharType="separate"/>
      </w:r>
      <w:r>
        <w:rPr>
          <w:rFonts w:hint="eastAsia" w:cs="仿宋" w:asciiTheme="minorEastAsia" w:hAnsiTheme="minorEastAsia" w:eastAsiaTheme="minorEastAsia"/>
          <w:bCs/>
          <w:szCs w:val="21"/>
        </w:rPr>
        <w:t>②</w:t>
      </w:r>
      <w:r>
        <w:rPr>
          <w:rFonts w:cs="仿宋" w:asciiTheme="minorEastAsia" w:hAnsiTheme="minorEastAsia" w:eastAsiaTheme="minorEastAsia"/>
          <w:bCs/>
          <w:szCs w:val="21"/>
        </w:rPr>
        <w:fldChar w:fldCharType="end"/>
      </w:r>
      <w:r>
        <w:rPr>
          <w:rFonts w:hint="eastAsia" w:cs="仿宋" w:asciiTheme="minorEastAsia" w:hAnsiTheme="minorEastAsia" w:eastAsiaTheme="minorEastAsia"/>
          <w:bCs/>
          <w:szCs w:val="21"/>
        </w:rPr>
        <w:t xml:space="preserve"> 采购代理机构网站（www.szzzt.com）</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相关公告在以上媒体上公布之日即视为有效送达，不再另行通知。</w:t>
      </w:r>
    </w:p>
    <w:p>
      <w:pPr>
        <w:spacing w:line="360" w:lineRule="auto"/>
        <w:rPr>
          <w:rFonts w:cs="仿宋" w:asciiTheme="minorEastAsia" w:hAnsiTheme="minorEastAsia" w:eastAsiaTheme="minorEastAsia"/>
          <w:bCs/>
          <w:szCs w:val="21"/>
        </w:rPr>
      </w:pP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八、本项目联系方式</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1、采购人信息</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名　    称：深圳市公安局轨道交通分局</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2、采购代理机构信息</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名　   称：深圳市中正招标有限公司</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地　   址：深圳市福田区民田路171号新华保险大厦903</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联系 方式：李工，0755-83026699</w:t>
      </w:r>
    </w:p>
    <w:p>
      <w:pPr>
        <w:spacing w:line="360" w:lineRule="auto"/>
        <w:jc w:val="left"/>
        <w:rPr>
          <w:rFonts w:cs="仿宋" w:asciiTheme="minorEastAsia" w:hAnsiTheme="minorEastAsia" w:eastAsiaTheme="minorEastAsia"/>
          <w:b/>
          <w:bCs/>
          <w:szCs w:val="21"/>
        </w:rPr>
      </w:pPr>
    </w:p>
    <w:p>
      <w:pPr>
        <w:spacing w:line="360" w:lineRule="auto"/>
        <w:jc w:val="left"/>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九、附件</w:t>
      </w:r>
    </w:p>
    <w:p>
      <w:pPr>
        <w:spacing w:line="360" w:lineRule="auto"/>
        <w:ind w:firstLine="411" w:firstLineChars="196"/>
        <w:jc w:val="left"/>
        <w:rPr>
          <w:rFonts w:cs="仿宋" w:asciiTheme="minorEastAsia" w:hAnsiTheme="minorEastAsia" w:eastAsiaTheme="minorEastAsia"/>
          <w:bCs/>
          <w:szCs w:val="21"/>
        </w:rPr>
      </w:pPr>
      <w:r>
        <w:rPr>
          <w:rFonts w:hint="eastAsia" w:cs="仿宋" w:asciiTheme="minorEastAsia" w:hAnsiTheme="minorEastAsia" w:eastAsiaTheme="minorEastAsia"/>
          <w:bCs/>
          <w:szCs w:val="21"/>
        </w:rPr>
        <w:t>征集文件</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（附件内容请登陆采购代理机构官网下载查阅）</w:t>
      </w:r>
    </w:p>
    <w:p>
      <w:pPr>
        <w:spacing w:line="360" w:lineRule="auto"/>
        <w:rPr>
          <w:rFonts w:cs="仿宋" w:asciiTheme="minorEastAsia" w:hAnsiTheme="minorEastAsia" w:eastAsiaTheme="minorEastAsia"/>
          <w:bCs/>
          <w:szCs w:val="21"/>
        </w:rPr>
      </w:pPr>
    </w:p>
    <w:p>
      <w:pPr>
        <w:spacing w:line="360" w:lineRule="auto"/>
        <w:rPr>
          <w:rFonts w:cs="仿宋" w:asciiTheme="minorEastAsia" w:hAnsiTheme="minorEastAsia" w:eastAsiaTheme="minorEastAsia"/>
          <w:bCs/>
          <w:szCs w:val="21"/>
        </w:rPr>
      </w:pPr>
    </w:p>
    <w:p>
      <w:pPr>
        <w:spacing w:line="360" w:lineRule="auto"/>
        <w:ind w:firstLine="743" w:firstLineChars="354"/>
        <w:jc w:val="right"/>
        <w:rPr>
          <w:rFonts w:cs="仿宋" w:asciiTheme="minorEastAsia" w:hAnsiTheme="minorEastAsia" w:eastAsiaTheme="minorEastAsia"/>
          <w:bCs/>
          <w:szCs w:val="21"/>
        </w:rPr>
      </w:pPr>
      <w:r>
        <w:rPr>
          <w:rFonts w:hint="eastAsia" w:cs="仿宋" w:asciiTheme="minorEastAsia" w:hAnsiTheme="minorEastAsia" w:eastAsiaTheme="minorEastAsia"/>
          <w:bCs/>
          <w:szCs w:val="21"/>
        </w:rPr>
        <w:t>深圳市中正招标有限公司</w:t>
      </w:r>
    </w:p>
    <w:p>
      <w:pPr>
        <w:spacing w:line="360" w:lineRule="auto"/>
        <w:ind w:firstLine="743" w:firstLineChars="354"/>
        <w:jc w:val="right"/>
        <w:rPr>
          <w:rFonts w:cs="仿宋" w:asciiTheme="minorEastAsia" w:hAnsiTheme="minorEastAsia" w:eastAsiaTheme="minorEastAsia"/>
          <w:bCs/>
          <w:szCs w:val="21"/>
        </w:rPr>
      </w:pPr>
      <w:r>
        <w:rPr>
          <w:rFonts w:hint="eastAsia" w:cs="仿宋" w:asciiTheme="minorEastAsia" w:hAnsiTheme="minorEastAsia" w:eastAsiaTheme="minorEastAsia"/>
          <w:bCs/>
          <w:szCs w:val="21"/>
          <w:highlight w:val="none"/>
        </w:rPr>
        <w:t>2022年</w:t>
      </w:r>
      <w:r>
        <w:rPr>
          <w:rFonts w:hint="eastAsia" w:cs="仿宋" w:asciiTheme="minorEastAsia" w:hAnsiTheme="minorEastAsia" w:eastAsiaTheme="minorEastAsia"/>
          <w:bCs/>
          <w:szCs w:val="21"/>
          <w:highlight w:val="none"/>
          <w:lang w:val="en-US" w:eastAsia="zh-CN"/>
        </w:rPr>
        <w:t>12</w:t>
      </w:r>
      <w:r>
        <w:rPr>
          <w:rFonts w:hint="eastAsia" w:cs="仿宋" w:asciiTheme="minorEastAsia" w:hAnsiTheme="minorEastAsia" w:eastAsiaTheme="minorEastAsia"/>
          <w:bCs/>
          <w:szCs w:val="21"/>
          <w:highlight w:val="none"/>
        </w:rPr>
        <w:t>月</w:t>
      </w:r>
      <w:r>
        <w:rPr>
          <w:rFonts w:hint="eastAsia" w:cs="仿宋" w:asciiTheme="minorEastAsia" w:hAnsiTheme="minorEastAsia" w:eastAsiaTheme="minorEastAsia"/>
          <w:bCs/>
          <w:szCs w:val="21"/>
          <w:highlight w:val="none"/>
          <w:lang w:val="en-US" w:eastAsia="zh-CN"/>
        </w:rPr>
        <w:t>20</w:t>
      </w:r>
      <w:r>
        <w:rPr>
          <w:rFonts w:hint="eastAsia" w:cs="仿宋" w:asciiTheme="minorEastAsia" w:hAnsiTheme="minorEastAsia" w:eastAsiaTheme="minorEastAsia"/>
          <w:bCs/>
          <w:szCs w:val="21"/>
          <w:highlight w:val="none"/>
        </w:rPr>
        <w:t>日</w:t>
      </w:r>
    </w:p>
    <w:p>
      <w:pPr>
        <w:widowControl/>
        <w:jc w:val="left"/>
        <w:rPr>
          <w:rFonts w:cs="仿宋" w:asciiTheme="minorEastAsia" w:hAnsiTheme="minorEastAsia" w:eastAsiaTheme="minorEastAsia"/>
          <w:bCs/>
          <w:sz w:val="24"/>
        </w:rPr>
      </w:pPr>
      <w:r>
        <w:rPr>
          <w:rFonts w:hint="eastAsia" w:cs="仿宋" w:asciiTheme="minorEastAsia" w:hAnsiTheme="minorEastAsia" w:eastAsiaTheme="minorEastAsia"/>
          <w:bCs/>
          <w:sz w:val="24"/>
        </w:rPr>
        <w:br w:type="page"/>
      </w: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adjustRightInd w:val="0"/>
        <w:snapToGrid w:val="0"/>
        <w:spacing w:line="300" w:lineRule="auto"/>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第一部分</w:t>
      </w:r>
    </w:p>
    <w:p>
      <w:pPr>
        <w:spacing w:line="360" w:lineRule="auto"/>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投标须知前附表及评审信息</w:t>
      </w:r>
    </w:p>
    <w:p>
      <w:pPr>
        <w:widowControl/>
        <w:jc w:val="left"/>
        <w:rPr>
          <w:rFonts w:cs="仿宋" w:asciiTheme="minorEastAsia" w:hAnsiTheme="minorEastAsia" w:eastAsiaTheme="minorEastAsia"/>
          <w:b/>
          <w:snapToGrid w:val="0"/>
          <w:kern w:val="0"/>
          <w:sz w:val="72"/>
        </w:rPr>
      </w:pPr>
      <w:r>
        <w:rPr>
          <w:rFonts w:hint="eastAsia" w:cs="仿宋" w:asciiTheme="minorEastAsia" w:hAnsiTheme="minorEastAsia" w:eastAsiaTheme="minorEastAsia"/>
          <w:b/>
          <w:snapToGrid w:val="0"/>
          <w:kern w:val="0"/>
          <w:sz w:val="72"/>
        </w:rPr>
        <w:br w:type="page"/>
      </w:r>
    </w:p>
    <w:p>
      <w:pPr>
        <w:spacing w:line="360" w:lineRule="auto"/>
        <w:jc w:val="center"/>
        <w:rPr>
          <w:rFonts w:cs="仿宋" w:asciiTheme="minorEastAsia" w:hAnsiTheme="minorEastAsia" w:eastAsiaTheme="minorEastAsia"/>
          <w:b/>
          <w:bCs/>
          <w:sz w:val="36"/>
        </w:rPr>
      </w:pPr>
      <w:r>
        <w:rPr>
          <w:rFonts w:hint="eastAsia" w:cs="仿宋" w:asciiTheme="minorEastAsia" w:hAnsiTheme="minorEastAsia" w:eastAsiaTheme="minorEastAsia"/>
          <w:b/>
          <w:bCs/>
          <w:sz w:val="36"/>
        </w:rPr>
        <w:t>投标须知前附表</w:t>
      </w:r>
    </w:p>
    <w:tbl>
      <w:tblPr>
        <w:tblStyle w:val="18"/>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781"/>
        <w:gridCol w:w="1987"/>
        <w:gridCol w:w="5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13" w:type="pct"/>
            <w:tcBorders>
              <w:top w:val="double" w:color="auto" w:sz="4" w:space="0"/>
              <w:bottom w:val="single" w:color="auto" w:sz="4" w:space="0"/>
            </w:tcBorders>
            <w:shd w:val="clear" w:color="auto" w:fill="C6D9F0" w:themeFill="text2" w:themeFillTint="33"/>
            <w:vAlign w:val="center"/>
          </w:tcPr>
          <w:p>
            <w:pPr>
              <w:pStyle w:val="10"/>
              <w:spacing w:line="360" w:lineRule="auto"/>
              <w:jc w:val="center"/>
              <w:rPr>
                <w:rFonts w:cs="仿宋" w:asciiTheme="minorEastAsia" w:hAnsiTheme="minorEastAsia"/>
                <w:b/>
              </w:rPr>
            </w:pPr>
            <w:r>
              <w:rPr>
                <w:rFonts w:hint="eastAsia" w:cs="仿宋" w:asciiTheme="minorEastAsia" w:hAnsiTheme="minorEastAsia"/>
                <w:b/>
              </w:rPr>
              <w:t>项号</w:t>
            </w:r>
          </w:p>
        </w:tc>
        <w:tc>
          <w:tcPr>
            <w:tcW w:w="458" w:type="pct"/>
            <w:tcBorders>
              <w:top w:val="double" w:color="auto" w:sz="4" w:space="0"/>
              <w:bottom w:val="single" w:color="auto" w:sz="4" w:space="0"/>
            </w:tcBorders>
            <w:shd w:val="clear" w:color="auto" w:fill="C6D9F0" w:themeFill="text2" w:themeFillTint="33"/>
            <w:vAlign w:val="center"/>
          </w:tcPr>
          <w:p>
            <w:pPr>
              <w:pStyle w:val="10"/>
              <w:spacing w:line="360" w:lineRule="auto"/>
              <w:jc w:val="center"/>
              <w:rPr>
                <w:rFonts w:cs="仿宋" w:asciiTheme="minorEastAsia" w:hAnsiTheme="minorEastAsia"/>
                <w:b/>
              </w:rPr>
            </w:pPr>
            <w:r>
              <w:rPr>
                <w:rFonts w:hint="eastAsia" w:cs="仿宋" w:asciiTheme="minorEastAsia" w:hAnsiTheme="minorEastAsia"/>
                <w:b/>
              </w:rPr>
              <w:t>条款号</w:t>
            </w:r>
          </w:p>
        </w:tc>
        <w:tc>
          <w:tcPr>
            <w:tcW w:w="1166" w:type="pct"/>
            <w:tcBorders>
              <w:top w:val="double" w:color="auto" w:sz="4" w:space="0"/>
              <w:bottom w:val="single" w:color="auto" w:sz="4" w:space="0"/>
            </w:tcBorders>
            <w:shd w:val="clear" w:color="auto" w:fill="C6D9F0" w:themeFill="text2" w:themeFillTint="33"/>
            <w:vAlign w:val="center"/>
          </w:tcPr>
          <w:p>
            <w:pPr>
              <w:pStyle w:val="10"/>
              <w:spacing w:line="360" w:lineRule="auto"/>
              <w:jc w:val="center"/>
              <w:rPr>
                <w:rFonts w:cs="仿宋" w:asciiTheme="minorEastAsia" w:hAnsiTheme="minorEastAsia"/>
                <w:b/>
              </w:rPr>
            </w:pPr>
            <w:r>
              <w:rPr>
                <w:rFonts w:hint="eastAsia" w:cs="仿宋" w:asciiTheme="minorEastAsia" w:hAnsiTheme="minorEastAsia"/>
                <w:b/>
              </w:rPr>
              <w:t>内容</w:t>
            </w:r>
          </w:p>
        </w:tc>
        <w:tc>
          <w:tcPr>
            <w:tcW w:w="2961" w:type="pct"/>
            <w:tcBorders>
              <w:top w:val="double" w:color="auto" w:sz="4" w:space="0"/>
              <w:bottom w:val="single" w:color="auto" w:sz="4" w:space="0"/>
            </w:tcBorders>
            <w:shd w:val="clear" w:color="auto" w:fill="C6D9F0" w:themeFill="text2" w:themeFillTint="33"/>
            <w:vAlign w:val="center"/>
          </w:tcPr>
          <w:p>
            <w:pPr>
              <w:pStyle w:val="10"/>
              <w:spacing w:line="360" w:lineRule="auto"/>
              <w:jc w:val="center"/>
              <w:rPr>
                <w:rFonts w:cs="仿宋" w:asciiTheme="minorEastAsia" w:hAnsiTheme="minorEastAsia"/>
                <w:b/>
              </w:rPr>
            </w:pPr>
            <w:r>
              <w:rPr>
                <w:rFonts w:hint="eastAsia" w:cs="仿宋" w:asciiTheme="minorEastAsia" w:hAnsiTheme="minorEastAsia"/>
                <w:b/>
              </w:rPr>
              <w:t>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3" w:type="pct"/>
            <w:tcBorders>
              <w:top w:val="single" w:color="auto" w:sz="4" w:space="0"/>
            </w:tcBorders>
            <w:vAlign w:val="center"/>
          </w:tcPr>
          <w:p>
            <w:pPr>
              <w:pStyle w:val="10"/>
              <w:spacing w:line="360" w:lineRule="auto"/>
              <w:jc w:val="center"/>
              <w:rPr>
                <w:rFonts w:cs="仿宋" w:asciiTheme="minorEastAsia" w:hAnsiTheme="minorEastAsia"/>
              </w:rPr>
            </w:pPr>
            <w:r>
              <w:rPr>
                <w:rFonts w:hint="eastAsia" w:cs="仿宋" w:asciiTheme="minorEastAsia" w:hAnsiTheme="minorEastAsia"/>
              </w:rPr>
              <w:t>1</w:t>
            </w:r>
          </w:p>
        </w:tc>
        <w:tc>
          <w:tcPr>
            <w:tcW w:w="458" w:type="pct"/>
            <w:tcBorders>
              <w:top w:val="single" w:color="auto" w:sz="4" w:space="0"/>
            </w:tcBorders>
            <w:vAlign w:val="center"/>
          </w:tcPr>
          <w:p>
            <w:pPr>
              <w:pStyle w:val="10"/>
              <w:spacing w:line="360" w:lineRule="auto"/>
              <w:jc w:val="center"/>
              <w:rPr>
                <w:rFonts w:cs="仿宋" w:asciiTheme="minorEastAsia" w:hAnsiTheme="minorEastAsia"/>
              </w:rPr>
            </w:pPr>
            <w:r>
              <w:rPr>
                <w:rFonts w:hint="eastAsia" w:cs="仿宋" w:asciiTheme="minorEastAsia" w:hAnsiTheme="minorEastAsia"/>
              </w:rPr>
              <w:t>1.1</w:t>
            </w:r>
          </w:p>
        </w:tc>
        <w:tc>
          <w:tcPr>
            <w:tcW w:w="1166" w:type="pct"/>
            <w:tcBorders>
              <w:top w:val="single" w:color="auto" w:sz="4" w:space="0"/>
            </w:tcBorders>
            <w:vAlign w:val="center"/>
          </w:tcPr>
          <w:p>
            <w:pPr>
              <w:pStyle w:val="10"/>
              <w:spacing w:line="360" w:lineRule="auto"/>
              <w:jc w:val="center"/>
              <w:rPr>
                <w:rFonts w:cs="仿宋" w:asciiTheme="minorEastAsia" w:hAnsiTheme="minorEastAsia"/>
              </w:rPr>
            </w:pPr>
            <w:r>
              <w:rPr>
                <w:rFonts w:hint="eastAsia" w:cs="仿宋" w:asciiTheme="minorEastAsia" w:hAnsiTheme="minorEastAsia"/>
              </w:rPr>
              <w:t>项目名称</w:t>
            </w:r>
          </w:p>
        </w:tc>
        <w:tc>
          <w:tcPr>
            <w:tcW w:w="2961" w:type="pct"/>
            <w:tcBorders>
              <w:top w:val="single" w:color="auto" w:sz="4" w:space="0"/>
            </w:tcBorders>
            <w:vAlign w:val="center"/>
          </w:tcPr>
          <w:p>
            <w:pPr>
              <w:pStyle w:val="10"/>
              <w:spacing w:line="360" w:lineRule="auto"/>
              <w:rPr>
                <w:rFonts w:cs="仿宋" w:asciiTheme="minorEastAsia" w:hAnsiTheme="minorEastAsia"/>
              </w:rPr>
            </w:pPr>
            <w:r>
              <w:rPr>
                <w:rFonts w:hint="eastAsia" w:cs="仿宋" w:asciiTheme="minorEastAsia" w:hAnsiTheme="minorEastAsia"/>
              </w:rPr>
              <w:t>深圳地铁1号线西段警用通信系统运维项目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3"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2</w:t>
            </w:r>
          </w:p>
        </w:tc>
        <w:tc>
          <w:tcPr>
            <w:tcW w:w="458"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2.1</w:t>
            </w:r>
          </w:p>
        </w:tc>
        <w:tc>
          <w:tcPr>
            <w:tcW w:w="1166" w:type="pct"/>
            <w:vAlign w:val="center"/>
          </w:tcPr>
          <w:p>
            <w:pPr>
              <w:pStyle w:val="10"/>
              <w:spacing w:line="360" w:lineRule="auto"/>
              <w:jc w:val="center"/>
              <w:rPr>
                <w:rFonts w:cs="仿宋" w:asciiTheme="minorEastAsia" w:hAnsiTheme="minorEastAsia"/>
              </w:rPr>
            </w:pPr>
            <w:r>
              <w:rPr>
                <w:rFonts w:hint="eastAsia" w:cs="仿宋" w:asciiTheme="minorEastAsia" w:hAnsiTheme="minorEastAsia"/>
                <w:bCs/>
              </w:rPr>
              <w:t>采购人</w:t>
            </w:r>
            <w:r>
              <w:rPr>
                <w:rFonts w:hint="eastAsia" w:cs="仿宋" w:asciiTheme="minorEastAsia" w:hAnsiTheme="minorEastAsia"/>
              </w:rPr>
              <w:t>名称</w:t>
            </w:r>
          </w:p>
        </w:tc>
        <w:tc>
          <w:tcPr>
            <w:tcW w:w="2961" w:type="pct"/>
            <w:vAlign w:val="center"/>
          </w:tcPr>
          <w:p>
            <w:pPr>
              <w:rPr>
                <w:rFonts w:cs="仿宋" w:asciiTheme="minorEastAsia" w:hAnsiTheme="minorEastAsia" w:eastAsiaTheme="minorEastAsia"/>
              </w:rPr>
            </w:pPr>
            <w:r>
              <w:rPr>
                <w:rFonts w:hint="eastAsia" w:cs="仿宋" w:asciiTheme="minorEastAsia" w:hAnsiTheme="minorEastAsia" w:eastAsiaTheme="minorEastAsia"/>
              </w:rPr>
              <w:t>深圳市公安局轨道交通分局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3"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3</w:t>
            </w:r>
          </w:p>
        </w:tc>
        <w:tc>
          <w:tcPr>
            <w:tcW w:w="458"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2.2</w:t>
            </w:r>
          </w:p>
        </w:tc>
        <w:tc>
          <w:tcPr>
            <w:tcW w:w="1166" w:type="pct"/>
            <w:vAlign w:val="center"/>
          </w:tcPr>
          <w:p>
            <w:pPr>
              <w:pStyle w:val="10"/>
              <w:spacing w:line="360" w:lineRule="auto"/>
              <w:jc w:val="center"/>
              <w:rPr>
                <w:rFonts w:cs="仿宋" w:asciiTheme="minorEastAsia" w:hAnsiTheme="minorEastAsia"/>
                <w:bCs/>
              </w:rPr>
            </w:pPr>
            <w:r>
              <w:rPr>
                <w:rFonts w:hint="eastAsia" w:cs="仿宋" w:asciiTheme="minorEastAsia" w:hAnsiTheme="minorEastAsia"/>
                <w:bCs/>
              </w:rPr>
              <w:t>采购代理机构</w:t>
            </w:r>
          </w:p>
        </w:tc>
        <w:tc>
          <w:tcPr>
            <w:tcW w:w="2961" w:type="pct"/>
            <w:vAlign w:val="center"/>
          </w:tcPr>
          <w:p>
            <w:pPr>
              <w:pStyle w:val="10"/>
              <w:spacing w:line="360" w:lineRule="auto"/>
              <w:rPr>
                <w:rFonts w:cs="仿宋" w:asciiTheme="minorEastAsia" w:hAnsiTheme="minorEastAsia"/>
              </w:rPr>
            </w:pPr>
            <w:r>
              <w:rPr>
                <w:rFonts w:hint="eastAsia" w:cs="仿宋" w:asciiTheme="minorEastAsia" w:hAnsiTheme="minorEastAsia"/>
              </w:rPr>
              <w:t>深圳市中正招标有限公司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3"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4</w:t>
            </w:r>
          </w:p>
        </w:tc>
        <w:tc>
          <w:tcPr>
            <w:tcW w:w="458"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3.1</w:t>
            </w:r>
          </w:p>
        </w:tc>
        <w:tc>
          <w:tcPr>
            <w:tcW w:w="1166"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资金来源</w:t>
            </w:r>
          </w:p>
        </w:tc>
        <w:tc>
          <w:tcPr>
            <w:tcW w:w="2961" w:type="pct"/>
            <w:vAlign w:val="center"/>
          </w:tcPr>
          <w:p>
            <w:pPr>
              <w:pStyle w:val="10"/>
              <w:spacing w:line="360" w:lineRule="auto"/>
              <w:rPr>
                <w:rFonts w:cs="仿宋" w:asciiTheme="minorEastAsia" w:hAnsiTheme="minorEastAsia"/>
              </w:rPr>
            </w:pPr>
            <w:r>
              <w:rPr>
                <w:rFonts w:hint="eastAsia" w:cs="仿宋" w:asciiTheme="minorEastAsia" w:hAnsiTheme="minorEastAsia"/>
              </w:rPr>
              <w:t>财政</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3"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5</w:t>
            </w:r>
          </w:p>
        </w:tc>
        <w:tc>
          <w:tcPr>
            <w:tcW w:w="458"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4.7</w:t>
            </w:r>
          </w:p>
        </w:tc>
        <w:tc>
          <w:tcPr>
            <w:tcW w:w="1166"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投标供应商资格要求</w:t>
            </w:r>
          </w:p>
        </w:tc>
        <w:tc>
          <w:tcPr>
            <w:tcW w:w="2961" w:type="pct"/>
            <w:vAlign w:val="center"/>
          </w:tcPr>
          <w:p>
            <w:pPr>
              <w:spacing w:line="300" w:lineRule="auto"/>
              <w:rPr>
                <w:rFonts w:ascii="宋体" w:hAnsi="宋体"/>
                <w:szCs w:val="21"/>
              </w:rPr>
            </w:pPr>
            <w:r>
              <w:rPr>
                <w:rFonts w:hint="eastAsia" w:ascii="宋体" w:hAnsi="宋体"/>
                <w:szCs w:val="21"/>
              </w:rPr>
              <w:t>详见采购公告“申请人的资格要求”</w:t>
            </w:r>
            <w:r>
              <w:rPr>
                <w:rFonts w:ascii="宋体" w:hAnsi="宋体"/>
                <w:szCs w:val="21"/>
              </w:rPr>
              <w:t xml:space="preserve"> </w:t>
            </w:r>
          </w:p>
          <w:p>
            <w:pPr>
              <w:pStyle w:val="10"/>
              <w:spacing w:line="360" w:lineRule="auto"/>
              <w:rPr>
                <w:rFonts w:cs="仿宋" w:asciiTheme="minorEastAsia" w:hAnsiTheme="minorEastAsia"/>
                <w:szCs w:val="21"/>
              </w:rPr>
            </w:pPr>
            <w:r>
              <w:rPr>
                <w:rFonts w:hint="eastAsia" w:ascii="Times New Roman" w:hAnsi="宋体" w:eastAsia="宋体" w:cs="Times New Roman"/>
                <w:b/>
                <w:bCs/>
                <w:szCs w:val="21"/>
              </w:rPr>
              <w:t>（资格证明文件详见第三部分 投标文件格式）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3"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6</w:t>
            </w:r>
          </w:p>
        </w:tc>
        <w:tc>
          <w:tcPr>
            <w:tcW w:w="458"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6.1</w:t>
            </w:r>
          </w:p>
        </w:tc>
        <w:tc>
          <w:tcPr>
            <w:tcW w:w="1166"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踏勘现场</w:t>
            </w:r>
          </w:p>
        </w:tc>
        <w:tc>
          <w:tcPr>
            <w:tcW w:w="2961" w:type="pct"/>
            <w:vAlign w:val="center"/>
          </w:tcPr>
          <w:p>
            <w:pPr>
              <w:pStyle w:val="10"/>
              <w:spacing w:line="360" w:lineRule="auto"/>
              <w:rPr>
                <w:rFonts w:cs="仿宋" w:asciiTheme="minorEastAsia" w:hAnsiTheme="minorEastAsia"/>
              </w:rPr>
            </w:pPr>
            <w:r>
              <w:rPr>
                <w:rFonts w:hint="eastAsia" w:cs="仿宋" w:asciiTheme="minorEastAsia" w:hAnsiTheme="minorEastAsia"/>
                <w:bCs/>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3"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7</w:t>
            </w:r>
          </w:p>
        </w:tc>
        <w:tc>
          <w:tcPr>
            <w:tcW w:w="458"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14.1</w:t>
            </w:r>
          </w:p>
        </w:tc>
        <w:tc>
          <w:tcPr>
            <w:tcW w:w="1166" w:type="pct"/>
            <w:vAlign w:val="center"/>
          </w:tcPr>
          <w:p>
            <w:pPr>
              <w:pStyle w:val="10"/>
              <w:spacing w:line="360" w:lineRule="auto"/>
              <w:jc w:val="center"/>
              <w:rPr>
                <w:rFonts w:cs="仿宋" w:asciiTheme="minorEastAsia" w:hAnsiTheme="minorEastAsia"/>
              </w:rPr>
            </w:pPr>
            <w:r>
              <w:rPr>
                <w:rFonts w:hint="eastAsia" w:cs="仿宋" w:asciiTheme="minorEastAsia" w:hAnsiTheme="minorEastAsia"/>
                <w:bCs/>
              </w:rPr>
              <w:t>投标文件</w:t>
            </w:r>
            <w:r>
              <w:rPr>
                <w:rFonts w:hint="eastAsia" w:cs="仿宋" w:asciiTheme="minorEastAsia" w:hAnsiTheme="minorEastAsia"/>
              </w:rPr>
              <w:t>有效期</w:t>
            </w:r>
          </w:p>
        </w:tc>
        <w:tc>
          <w:tcPr>
            <w:tcW w:w="2961" w:type="pct"/>
            <w:vAlign w:val="center"/>
          </w:tcPr>
          <w:p>
            <w:pPr>
              <w:pStyle w:val="10"/>
              <w:spacing w:line="360" w:lineRule="auto"/>
              <w:rPr>
                <w:rFonts w:cs="仿宋" w:asciiTheme="minorEastAsia" w:hAnsiTheme="minorEastAsia"/>
              </w:rPr>
            </w:pPr>
            <w:r>
              <w:rPr>
                <w:rFonts w:hint="eastAsia" w:cs="仿宋" w:asciiTheme="minorEastAsia" w:hAnsiTheme="minorEastAsia"/>
              </w:rPr>
              <w:t>90天（日历日）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3"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8</w:t>
            </w:r>
          </w:p>
        </w:tc>
        <w:tc>
          <w:tcPr>
            <w:tcW w:w="458"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15.2</w:t>
            </w:r>
          </w:p>
        </w:tc>
        <w:tc>
          <w:tcPr>
            <w:tcW w:w="1166"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项目保证金</w:t>
            </w:r>
          </w:p>
        </w:tc>
        <w:tc>
          <w:tcPr>
            <w:tcW w:w="2961" w:type="pct"/>
            <w:vAlign w:val="center"/>
          </w:tcPr>
          <w:p>
            <w:pPr>
              <w:pStyle w:val="10"/>
              <w:spacing w:line="360" w:lineRule="auto"/>
              <w:rPr>
                <w:rFonts w:cs="仿宋" w:asciiTheme="minorEastAsia" w:hAnsiTheme="minorEastAsia"/>
              </w:rPr>
            </w:pPr>
            <w:r>
              <w:rPr>
                <w:rFonts w:hint="eastAsia" w:cs="仿宋" w:asciiTheme="minorEastAsia" w:hAnsiTheme="minorEastAsia"/>
              </w:rPr>
              <w:t>本项目不收取项目保证金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3"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10</w:t>
            </w:r>
          </w:p>
        </w:tc>
        <w:tc>
          <w:tcPr>
            <w:tcW w:w="458"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17.1</w:t>
            </w:r>
          </w:p>
        </w:tc>
        <w:tc>
          <w:tcPr>
            <w:tcW w:w="1166" w:type="pct"/>
            <w:vAlign w:val="center"/>
          </w:tcPr>
          <w:p>
            <w:pPr>
              <w:pStyle w:val="10"/>
              <w:spacing w:line="360" w:lineRule="auto"/>
              <w:jc w:val="center"/>
              <w:rPr>
                <w:rFonts w:cs="仿宋" w:asciiTheme="minorEastAsia" w:hAnsiTheme="minorEastAsia"/>
              </w:rPr>
            </w:pPr>
            <w:r>
              <w:rPr>
                <w:rFonts w:hint="eastAsia" w:cs="仿宋" w:asciiTheme="minorEastAsia" w:hAnsiTheme="minorEastAsia"/>
                <w:bCs/>
              </w:rPr>
              <w:t>投标文件</w:t>
            </w:r>
            <w:r>
              <w:rPr>
                <w:rFonts w:hint="eastAsia" w:cs="仿宋" w:asciiTheme="minorEastAsia" w:hAnsiTheme="minorEastAsia"/>
              </w:rPr>
              <w:t>份数</w:t>
            </w:r>
          </w:p>
        </w:tc>
        <w:tc>
          <w:tcPr>
            <w:tcW w:w="2961" w:type="pct"/>
            <w:vAlign w:val="center"/>
          </w:tcPr>
          <w:p>
            <w:pPr>
              <w:pStyle w:val="10"/>
              <w:rPr>
                <w:rFonts w:cs="仿宋" w:asciiTheme="minorEastAsia" w:hAnsiTheme="minorEastAsia"/>
              </w:rPr>
            </w:pPr>
            <w:r>
              <w:rPr>
                <w:rFonts w:hint="eastAsia" w:cs="仿宋" w:asciiTheme="minorEastAsia" w:hAnsiTheme="minorEastAsia"/>
              </w:rPr>
              <w:t>正本2份，副本 4 份，投标文件正文扫描件电子档1份。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3"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11</w:t>
            </w:r>
          </w:p>
        </w:tc>
        <w:tc>
          <w:tcPr>
            <w:tcW w:w="458"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18.8</w:t>
            </w:r>
          </w:p>
        </w:tc>
        <w:tc>
          <w:tcPr>
            <w:tcW w:w="1166"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开标</w:t>
            </w:r>
          </w:p>
        </w:tc>
        <w:tc>
          <w:tcPr>
            <w:tcW w:w="2961" w:type="pct"/>
            <w:vAlign w:val="center"/>
          </w:tcPr>
          <w:p>
            <w:pPr>
              <w:pStyle w:val="10"/>
              <w:rPr>
                <w:rFonts w:cs="仿宋" w:asciiTheme="minorEastAsia" w:hAnsiTheme="minorEastAsia"/>
              </w:rPr>
            </w:pPr>
            <w:r>
              <w:rPr>
                <w:rFonts w:hint="eastAsia" w:cs="仿宋" w:asciiTheme="minorEastAsia" w:hAnsiTheme="minorEastAsia"/>
              </w:rPr>
              <w:t>时间：</w:t>
            </w:r>
            <w:r>
              <w:rPr>
                <w:rFonts w:hint="eastAsia" w:cs="仿宋" w:asciiTheme="minorEastAsia" w:hAnsiTheme="minorEastAsia"/>
                <w:b/>
                <w:snapToGrid w:val="0"/>
                <w:highlight w:val="yellow"/>
              </w:rPr>
              <w:t>2022年</w:t>
            </w:r>
            <w:r>
              <w:rPr>
                <w:rFonts w:hint="eastAsia" w:cs="仿宋" w:asciiTheme="minorEastAsia" w:hAnsiTheme="minorEastAsia"/>
                <w:b/>
                <w:snapToGrid w:val="0"/>
                <w:highlight w:val="yellow"/>
                <w:lang w:val="en-US" w:eastAsia="zh-CN"/>
              </w:rPr>
              <w:t>12</w:t>
            </w:r>
            <w:r>
              <w:rPr>
                <w:rFonts w:hint="eastAsia" w:cs="仿宋" w:asciiTheme="minorEastAsia" w:hAnsiTheme="minorEastAsia"/>
                <w:b/>
                <w:snapToGrid w:val="0"/>
                <w:highlight w:val="yellow"/>
              </w:rPr>
              <w:t>月</w:t>
            </w:r>
            <w:r>
              <w:rPr>
                <w:rFonts w:hint="eastAsia" w:cs="仿宋" w:asciiTheme="minorEastAsia" w:hAnsiTheme="minorEastAsia"/>
                <w:b/>
                <w:snapToGrid w:val="0"/>
                <w:highlight w:val="yellow"/>
                <w:lang w:val="en-US" w:eastAsia="zh-CN"/>
              </w:rPr>
              <w:t>28</w:t>
            </w:r>
            <w:r>
              <w:rPr>
                <w:rFonts w:hint="eastAsia" w:cs="仿宋" w:asciiTheme="minorEastAsia" w:hAnsiTheme="minorEastAsia"/>
                <w:b/>
                <w:snapToGrid w:val="0"/>
                <w:highlight w:val="yellow"/>
              </w:rPr>
              <w:t>日</w:t>
            </w:r>
            <w:r>
              <w:rPr>
                <w:rFonts w:hint="eastAsia" w:cs="仿宋" w:asciiTheme="minorEastAsia" w:hAnsiTheme="minorEastAsia"/>
                <w:b/>
                <w:snapToGrid w:val="0"/>
                <w:highlight w:val="yellow"/>
                <w:lang w:val="en-US" w:eastAsia="zh-CN"/>
              </w:rPr>
              <w:t>15</w:t>
            </w:r>
            <w:r>
              <w:rPr>
                <w:rFonts w:hint="eastAsia" w:cs="仿宋" w:asciiTheme="minorEastAsia" w:hAnsiTheme="minorEastAsia"/>
                <w:b/>
                <w:snapToGrid w:val="0"/>
                <w:highlight w:val="yellow"/>
              </w:rPr>
              <w:t>点</w:t>
            </w:r>
            <w:r>
              <w:rPr>
                <w:rFonts w:hint="eastAsia" w:cs="仿宋" w:asciiTheme="minorEastAsia" w:hAnsiTheme="minorEastAsia"/>
                <w:b/>
                <w:snapToGrid w:val="0"/>
                <w:highlight w:val="yellow"/>
                <w:lang w:val="en-US" w:eastAsia="zh-CN"/>
              </w:rPr>
              <w:t>00</w:t>
            </w:r>
            <w:r>
              <w:rPr>
                <w:rFonts w:hint="eastAsia" w:cs="仿宋" w:asciiTheme="minorEastAsia" w:hAnsiTheme="minorEastAsia"/>
                <w:b/>
                <w:snapToGrid w:val="0"/>
                <w:highlight w:val="yellow"/>
              </w:rPr>
              <w:t>分（北京时间）</w:t>
            </w:r>
          </w:p>
          <w:p>
            <w:pPr>
              <w:pStyle w:val="10"/>
              <w:spacing w:line="360" w:lineRule="auto"/>
              <w:rPr>
                <w:rFonts w:cs="仿宋" w:asciiTheme="minorEastAsia" w:hAnsiTheme="minorEastAsia"/>
              </w:rPr>
            </w:pPr>
            <w:r>
              <w:rPr>
                <w:rFonts w:hint="eastAsia" w:cs="仿宋" w:asciiTheme="minorEastAsia" w:hAnsiTheme="minorEastAsia"/>
              </w:rPr>
              <w:t>地点：深圳市福田区民田路171号新华保险大厦903中正招标开标室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3"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12</w:t>
            </w:r>
          </w:p>
        </w:tc>
        <w:tc>
          <w:tcPr>
            <w:tcW w:w="458"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19.2</w:t>
            </w:r>
          </w:p>
        </w:tc>
        <w:tc>
          <w:tcPr>
            <w:tcW w:w="1166" w:type="pct"/>
            <w:vAlign w:val="center"/>
          </w:tcPr>
          <w:p>
            <w:pPr>
              <w:pStyle w:val="10"/>
              <w:spacing w:line="360" w:lineRule="auto"/>
              <w:jc w:val="center"/>
              <w:rPr>
                <w:rFonts w:cs="仿宋" w:asciiTheme="minorEastAsia" w:hAnsiTheme="minorEastAsia"/>
              </w:rPr>
            </w:pPr>
            <w:r>
              <w:rPr>
                <w:rFonts w:hint="eastAsia" w:cs="仿宋" w:asciiTheme="minorEastAsia" w:hAnsiTheme="minorEastAsia"/>
                <w:bCs/>
              </w:rPr>
              <w:t>投标文件</w:t>
            </w:r>
            <w:r>
              <w:rPr>
                <w:rFonts w:hint="eastAsia" w:cs="仿宋" w:asciiTheme="minorEastAsia" w:hAnsiTheme="minorEastAsia"/>
              </w:rPr>
              <w:t>截止时间</w:t>
            </w:r>
          </w:p>
        </w:tc>
        <w:tc>
          <w:tcPr>
            <w:tcW w:w="2961" w:type="pct"/>
            <w:vAlign w:val="center"/>
          </w:tcPr>
          <w:p>
            <w:pPr>
              <w:pStyle w:val="10"/>
              <w:spacing w:line="360" w:lineRule="auto"/>
              <w:rPr>
                <w:rFonts w:cs="仿宋" w:asciiTheme="minorEastAsia" w:hAnsiTheme="minorEastAsia"/>
                <w:b/>
              </w:rPr>
            </w:pPr>
            <w:r>
              <w:rPr>
                <w:rFonts w:hint="eastAsia" w:cs="仿宋" w:asciiTheme="minorEastAsia" w:hAnsiTheme="minorEastAsia"/>
                <w:b/>
                <w:snapToGrid w:val="0"/>
                <w:highlight w:val="yellow"/>
              </w:rPr>
              <w:t>2022年</w:t>
            </w:r>
            <w:r>
              <w:rPr>
                <w:rFonts w:hint="eastAsia" w:cs="仿宋" w:asciiTheme="minorEastAsia" w:hAnsiTheme="minorEastAsia"/>
                <w:b/>
                <w:snapToGrid w:val="0"/>
                <w:highlight w:val="yellow"/>
                <w:lang w:val="en-US" w:eastAsia="zh-CN"/>
              </w:rPr>
              <w:t>12</w:t>
            </w:r>
            <w:r>
              <w:rPr>
                <w:rFonts w:hint="eastAsia" w:cs="仿宋" w:asciiTheme="minorEastAsia" w:hAnsiTheme="minorEastAsia"/>
                <w:b/>
                <w:snapToGrid w:val="0"/>
                <w:highlight w:val="yellow"/>
              </w:rPr>
              <w:t>月</w:t>
            </w:r>
            <w:r>
              <w:rPr>
                <w:rFonts w:hint="eastAsia" w:cs="仿宋" w:asciiTheme="minorEastAsia" w:hAnsiTheme="minorEastAsia"/>
                <w:b/>
                <w:snapToGrid w:val="0"/>
                <w:highlight w:val="yellow"/>
                <w:lang w:val="en-US" w:eastAsia="zh-CN"/>
              </w:rPr>
              <w:t>28</w:t>
            </w:r>
            <w:r>
              <w:rPr>
                <w:rFonts w:hint="eastAsia" w:cs="仿宋" w:asciiTheme="minorEastAsia" w:hAnsiTheme="minorEastAsia"/>
                <w:b/>
                <w:snapToGrid w:val="0"/>
                <w:highlight w:val="yellow"/>
              </w:rPr>
              <w:t>日</w:t>
            </w:r>
            <w:r>
              <w:rPr>
                <w:rFonts w:hint="eastAsia" w:cs="仿宋" w:asciiTheme="minorEastAsia" w:hAnsiTheme="minorEastAsia"/>
                <w:b/>
                <w:snapToGrid w:val="0"/>
                <w:highlight w:val="yellow"/>
                <w:lang w:val="en-US" w:eastAsia="zh-CN"/>
              </w:rPr>
              <w:t>15</w:t>
            </w:r>
            <w:r>
              <w:rPr>
                <w:rFonts w:hint="eastAsia" w:cs="仿宋" w:asciiTheme="minorEastAsia" w:hAnsiTheme="minorEastAsia"/>
                <w:b/>
                <w:snapToGrid w:val="0"/>
                <w:highlight w:val="yellow"/>
              </w:rPr>
              <w:t>点</w:t>
            </w:r>
            <w:r>
              <w:rPr>
                <w:rFonts w:hint="eastAsia" w:cs="仿宋" w:asciiTheme="minorEastAsia" w:hAnsiTheme="minorEastAsia"/>
                <w:b/>
                <w:snapToGrid w:val="0"/>
                <w:highlight w:val="yellow"/>
                <w:lang w:val="en-US" w:eastAsia="zh-CN"/>
              </w:rPr>
              <w:t>00</w:t>
            </w:r>
            <w:r>
              <w:rPr>
                <w:rFonts w:hint="eastAsia" w:cs="仿宋" w:asciiTheme="minorEastAsia" w:hAnsiTheme="minorEastAsia"/>
                <w:b/>
                <w:snapToGrid w:val="0"/>
                <w:highlight w:val="yellow"/>
              </w:rPr>
              <w:t>分（北京时间）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3"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13</w:t>
            </w:r>
          </w:p>
        </w:tc>
        <w:tc>
          <w:tcPr>
            <w:tcW w:w="458"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26.5</w:t>
            </w:r>
          </w:p>
        </w:tc>
        <w:tc>
          <w:tcPr>
            <w:tcW w:w="1166"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评审方法</w:t>
            </w:r>
          </w:p>
        </w:tc>
        <w:tc>
          <w:tcPr>
            <w:tcW w:w="2961" w:type="pct"/>
            <w:vAlign w:val="center"/>
          </w:tcPr>
          <w:p>
            <w:pPr>
              <w:pStyle w:val="10"/>
              <w:spacing w:line="360" w:lineRule="auto"/>
              <w:rPr>
                <w:rFonts w:cs="仿宋" w:asciiTheme="minorEastAsia" w:hAnsiTheme="minorEastAsia"/>
              </w:rPr>
            </w:pPr>
            <w:r>
              <w:rPr>
                <w:rFonts w:hint="eastAsia" w:cs="仿宋" w:asciiTheme="minorEastAsia" w:hAnsiTheme="minorEastAsia"/>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413"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14</w:t>
            </w:r>
          </w:p>
        </w:tc>
        <w:tc>
          <w:tcPr>
            <w:tcW w:w="458"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33.1</w:t>
            </w:r>
          </w:p>
        </w:tc>
        <w:tc>
          <w:tcPr>
            <w:tcW w:w="1166" w:type="pct"/>
            <w:vAlign w:val="center"/>
          </w:tcPr>
          <w:p>
            <w:pPr>
              <w:pStyle w:val="10"/>
              <w:spacing w:line="340" w:lineRule="exact"/>
              <w:jc w:val="center"/>
              <w:rPr>
                <w:rFonts w:cs="仿宋" w:asciiTheme="minorEastAsia" w:hAnsiTheme="minorEastAsia"/>
              </w:rPr>
            </w:pPr>
            <w:r>
              <w:rPr>
                <w:rFonts w:hint="eastAsia" w:cs="仿宋" w:asciiTheme="minorEastAsia" w:hAnsiTheme="minorEastAsia"/>
              </w:rPr>
              <w:t>采购代理服务费</w:t>
            </w:r>
          </w:p>
        </w:tc>
        <w:tc>
          <w:tcPr>
            <w:tcW w:w="2961" w:type="pct"/>
            <w:vAlign w:val="center"/>
          </w:tcPr>
          <w:p>
            <w:pPr>
              <w:pStyle w:val="10"/>
              <w:spacing w:line="340" w:lineRule="exact"/>
              <w:rPr>
                <w:rFonts w:cs="仿宋" w:asciiTheme="minorEastAsia" w:hAnsiTheme="minorEastAsia"/>
              </w:rPr>
            </w:pPr>
            <w:r>
              <w:rPr>
                <w:rFonts w:hint="eastAsia" w:cs="仿宋" w:asciiTheme="minorEastAsia" w:hAnsiTheme="minorEastAsia"/>
              </w:rPr>
              <w:t>采购代理机构按中标金额的一定比例向中标供应商收取，最低收取人民币5000元。</w:t>
            </w:r>
          </w:p>
          <w:p>
            <w:pPr>
              <w:pStyle w:val="10"/>
              <w:spacing w:line="340" w:lineRule="exact"/>
              <w:rPr>
                <w:rFonts w:cs="仿宋" w:asciiTheme="minorEastAsia" w:hAnsiTheme="minorEastAsia"/>
              </w:rPr>
            </w:pPr>
            <w:r>
              <w:rPr>
                <w:rFonts w:hint="eastAsia" w:cs="仿宋" w:asciiTheme="minorEastAsia" w:hAnsiTheme="minorEastAsia"/>
              </w:rPr>
              <w:t>（详见“第五部分-通用条款（投标须知）第33条款”）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 w:type="pct"/>
            <w:vAlign w:val="center"/>
          </w:tcPr>
          <w:p>
            <w:pPr>
              <w:pStyle w:val="10"/>
              <w:spacing w:line="360" w:lineRule="auto"/>
              <w:jc w:val="center"/>
              <w:rPr>
                <w:rFonts w:cs="仿宋" w:asciiTheme="minorEastAsia" w:hAnsiTheme="minorEastAsia"/>
              </w:rPr>
            </w:pPr>
            <w:r>
              <w:rPr>
                <w:rFonts w:hint="eastAsia" w:cs="仿宋" w:asciiTheme="minorEastAsia" w:hAnsiTheme="minorEastAsia"/>
              </w:rPr>
              <w:t>15</w:t>
            </w:r>
          </w:p>
        </w:tc>
        <w:tc>
          <w:tcPr>
            <w:tcW w:w="458" w:type="pct"/>
            <w:vAlign w:val="center"/>
          </w:tcPr>
          <w:p>
            <w:pPr>
              <w:pStyle w:val="10"/>
              <w:spacing w:line="360" w:lineRule="auto"/>
              <w:jc w:val="center"/>
              <w:rPr>
                <w:rFonts w:cs="仿宋" w:asciiTheme="minorEastAsia" w:hAnsiTheme="minorEastAsia"/>
              </w:rPr>
            </w:pPr>
          </w:p>
        </w:tc>
        <w:tc>
          <w:tcPr>
            <w:tcW w:w="1166" w:type="pct"/>
            <w:vAlign w:val="center"/>
          </w:tcPr>
          <w:p>
            <w:pPr>
              <w:pStyle w:val="10"/>
              <w:spacing w:line="340" w:lineRule="exact"/>
              <w:jc w:val="center"/>
              <w:rPr>
                <w:rFonts w:cs="仿宋" w:asciiTheme="minorEastAsia" w:hAnsiTheme="minorEastAsia"/>
              </w:rPr>
            </w:pPr>
            <w:r>
              <w:rPr>
                <w:rFonts w:hint="eastAsia" w:cs="仿宋" w:asciiTheme="minorEastAsia" w:hAnsiTheme="minorEastAsia"/>
              </w:rPr>
              <w:t>采购控制金额</w:t>
            </w:r>
          </w:p>
          <w:p>
            <w:pPr>
              <w:pStyle w:val="10"/>
              <w:spacing w:line="340" w:lineRule="exact"/>
              <w:jc w:val="center"/>
              <w:rPr>
                <w:rFonts w:cs="仿宋" w:asciiTheme="minorEastAsia" w:hAnsiTheme="minorEastAsia"/>
              </w:rPr>
            </w:pPr>
            <w:r>
              <w:rPr>
                <w:rFonts w:hint="eastAsia" w:cs="仿宋" w:asciiTheme="minorEastAsia" w:hAnsiTheme="minorEastAsia"/>
              </w:rPr>
              <w:t>（最高限价）</w:t>
            </w:r>
          </w:p>
        </w:tc>
        <w:tc>
          <w:tcPr>
            <w:tcW w:w="2961" w:type="pct"/>
            <w:vAlign w:val="center"/>
          </w:tcPr>
          <w:p>
            <w:pPr>
              <w:pStyle w:val="10"/>
              <w:spacing w:line="340" w:lineRule="exact"/>
              <w:rPr>
                <w:rFonts w:cs="仿宋" w:asciiTheme="minorEastAsia" w:hAnsiTheme="minorEastAsia"/>
                <w:b/>
              </w:rPr>
            </w:pPr>
            <w:r>
              <w:rPr>
                <w:rFonts w:hint="eastAsia" w:cs="仿宋" w:asciiTheme="minorEastAsia" w:hAnsiTheme="minorEastAsia"/>
                <w:b/>
                <w:highlight w:val="yellow"/>
              </w:rPr>
              <w:t>人民币55.231684万元</w:t>
            </w:r>
          </w:p>
        </w:tc>
      </w:tr>
    </w:tbl>
    <w:p>
      <w:pPr>
        <w:jc w:val="center"/>
        <w:rPr>
          <w:rFonts w:cs="仿宋" w:asciiTheme="minorEastAsia" w:hAnsiTheme="minorEastAsia" w:eastAsiaTheme="minorEastAsia"/>
          <w:b/>
          <w:sz w:val="36"/>
          <w:szCs w:val="32"/>
        </w:rPr>
      </w:pPr>
      <w:r>
        <w:rPr>
          <w:rFonts w:hint="eastAsia" w:cs="仿宋" w:asciiTheme="minorEastAsia" w:hAnsiTheme="minorEastAsia" w:eastAsiaTheme="minorEastAsia"/>
        </w:rPr>
        <w:br w:type="page"/>
      </w:r>
      <w:r>
        <w:rPr>
          <w:rFonts w:hint="eastAsia" w:cs="仿宋" w:asciiTheme="minorEastAsia" w:hAnsiTheme="minorEastAsia" w:eastAsiaTheme="minorEastAsia"/>
          <w:b/>
          <w:sz w:val="36"/>
          <w:szCs w:val="32"/>
        </w:rPr>
        <w:t>投标须知前附件</w:t>
      </w:r>
    </w:p>
    <w:p>
      <w:pPr>
        <w:adjustRightInd w:val="0"/>
        <w:spacing w:line="360" w:lineRule="auto"/>
        <w:ind w:firstLine="420" w:firstLineChars="200"/>
        <w:rPr>
          <w:rFonts w:cs="仿宋" w:asciiTheme="minorEastAsia" w:hAnsiTheme="minorEastAsia" w:eastAsiaTheme="minorEastAsia"/>
          <w:snapToGrid w:val="0"/>
          <w:kern w:val="0"/>
        </w:rPr>
      </w:pPr>
    </w:p>
    <w:p>
      <w:pPr>
        <w:adjustRightInd w:val="0"/>
        <w:spacing w:line="360" w:lineRule="auto"/>
        <w:ind w:firstLine="420" w:firstLineChars="200"/>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本章是本征集文件中涉及的所有无效标和废标情形的摘要，除法律法规另有规定外，投标文件的其他任何情形均不得作无效标和废标处理。征集文件中有关无效标和废标与本章节不一致的，以本章节内容为准。</w:t>
      </w:r>
    </w:p>
    <w:p>
      <w:pPr>
        <w:adjustRightInd w:val="0"/>
        <w:spacing w:line="360" w:lineRule="auto"/>
        <w:rPr>
          <w:rFonts w:cs="仿宋" w:asciiTheme="minorEastAsia" w:hAnsiTheme="minorEastAsia" w:eastAsiaTheme="minorEastAsia"/>
          <w:snapToGrid w:val="0"/>
          <w:kern w:val="0"/>
        </w:rPr>
      </w:pPr>
    </w:p>
    <w:p>
      <w:p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一、资格性审查</w:t>
      </w:r>
    </w:p>
    <w:p>
      <w:pPr>
        <w:numPr>
          <w:ilvl w:val="0"/>
          <w:numId w:val="1"/>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bCs/>
          <w:szCs w:val="21"/>
        </w:rPr>
        <w:t>投标供应商</w:t>
      </w:r>
      <w:r>
        <w:rPr>
          <w:rFonts w:hint="eastAsia" w:cs="仿宋" w:asciiTheme="minorEastAsia" w:hAnsiTheme="minorEastAsia" w:eastAsiaTheme="minorEastAsia"/>
          <w:snapToGrid w:val="0"/>
          <w:kern w:val="0"/>
        </w:rPr>
        <w:t>的资格不符合征集文件要求或资格证明文件提供不全。</w:t>
      </w:r>
    </w:p>
    <w:p>
      <w:pPr>
        <w:pStyle w:val="17"/>
      </w:pPr>
    </w:p>
    <w:p>
      <w:p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二、符合性审查</w:t>
      </w:r>
    </w:p>
    <w:p>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投标供应商提供的投标文件数量不符合征集文件要求。</w:t>
      </w:r>
    </w:p>
    <w:p>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投标文件未按照征集文件要求制作、密封和标记。</w:t>
      </w:r>
    </w:p>
    <w:p>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投标文件有关内容未按征集文件要求加盖投标供应商印章、或未经法定代表人或其委托代理人签字（或盖章）。</w:t>
      </w:r>
    </w:p>
    <w:p>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投标文件的关键内容字迹模糊、无法辨认的。</w:t>
      </w:r>
    </w:p>
    <w:p>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投标报价有严重缺漏项的。</w:t>
      </w:r>
    </w:p>
    <w:p>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未实质性响应征集文件要求的。</w:t>
      </w:r>
    </w:p>
    <w:p>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任一项带★的指标未投标或不满足要求。（如有带★号条款）</w:t>
      </w:r>
    </w:p>
    <w:p>
      <w:pPr>
        <w:numPr>
          <w:ilvl w:val="0"/>
          <w:numId w:val="2"/>
        </w:numPr>
        <w:adjustRightInd w:val="0"/>
        <w:spacing w:line="360" w:lineRule="auto"/>
        <w:rPr>
          <w:rFonts w:cs="仿宋" w:asciiTheme="minorEastAsia" w:hAnsiTheme="minorEastAsia" w:eastAsiaTheme="minorEastAsia"/>
          <w:snapToGrid w:val="0"/>
          <w:color w:val="FF0000"/>
          <w:kern w:val="0"/>
        </w:rPr>
      </w:pPr>
      <w:r>
        <w:rPr>
          <w:rFonts w:hint="eastAsia" w:cs="仿宋" w:asciiTheme="minorEastAsia" w:hAnsiTheme="minorEastAsia" w:eastAsiaTheme="minorEastAsia"/>
          <w:snapToGrid w:val="0"/>
          <w:kern w:val="0"/>
        </w:rPr>
        <w:t>未按征集文件所提供的样式填写《声明函》。</w:t>
      </w:r>
    </w:p>
    <w:p>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将一个项目包拆分投标，对同一货物及服务投标时，同时提供两套或以上的投标方案。</w:t>
      </w:r>
    </w:p>
    <w:p>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投标文件附有采购人不能接受的条件。</w:t>
      </w:r>
    </w:p>
    <w:p>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出现违规行为：如以他人名义竞标、串通投标或者以其他弄虚作假方式投标的。</w:t>
      </w:r>
    </w:p>
    <w:p>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投标总价或单个采购条目的分项报价超过采购控制金额或最高限价的。</w:t>
      </w:r>
    </w:p>
    <w:p>
      <w:pPr>
        <w:numPr>
          <w:ilvl w:val="0"/>
          <w:numId w:val="2"/>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法律、法规规定的其他情形。</w:t>
      </w:r>
    </w:p>
    <w:p>
      <w:pPr>
        <w:spacing w:line="360" w:lineRule="auto"/>
        <w:jc w:val="center"/>
        <w:rPr>
          <w:rFonts w:cs="仿宋" w:asciiTheme="minorEastAsia" w:hAnsiTheme="minorEastAsia" w:eastAsiaTheme="minorEastAsia"/>
          <w:b/>
          <w:bCs/>
          <w:sz w:val="32"/>
        </w:rPr>
      </w:pPr>
    </w:p>
    <w:p>
      <w:pPr>
        <w:widowControl/>
        <w:jc w:val="left"/>
        <w:rPr>
          <w:rFonts w:cs="仿宋" w:asciiTheme="minorEastAsia" w:hAnsiTheme="minorEastAsia" w:eastAsiaTheme="minorEastAsia"/>
          <w:b/>
          <w:bCs/>
          <w:sz w:val="32"/>
        </w:rPr>
      </w:pPr>
      <w:r>
        <w:rPr>
          <w:rFonts w:hint="eastAsia" w:cs="仿宋" w:asciiTheme="minorEastAsia" w:hAnsiTheme="minorEastAsia" w:eastAsiaTheme="minorEastAsia"/>
          <w:b/>
          <w:bCs/>
          <w:sz w:val="32"/>
        </w:rPr>
        <w:br w:type="page"/>
      </w:r>
    </w:p>
    <w:p>
      <w:pPr>
        <w:spacing w:line="360" w:lineRule="auto"/>
        <w:jc w:val="center"/>
        <w:rPr>
          <w:rFonts w:cs="仿宋" w:asciiTheme="minorEastAsia" w:hAnsiTheme="minorEastAsia" w:eastAsiaTheme="minorEastAsia"/>
          <w:b/>
          <w:sz w:val="36"/>
        </w:rPr>
      </w:pPr>
      <w:r>
        <w:rPr>
          <w:rFonts w:hint="eastAsia" w:cs="仿宋" w:asciiTheme="minorEastAsia" w:hAnsiTheme="minorEastAsia" w:eastAsiaTheme="minorEastAsia"/>
          <w:b/>
          <w:sz w:val="36"/>
        </w:rPr>
        <w:t>评审信息</w:t>
      </w:r>
    </w:p>
    <w:p>
      <w:pPr>
        <w:spacing w:line="360" w:lineRule="auto"/>
        <w:jc w:val="left"/>
        <w:rPr>
          <w:rFonts w:cs="仿宋" w:asciiTheme="minorEastAsia" w:hAnsiTheme="minorEastAsia" w:eastAsiaTheme="minorEastAsia"/>
          <w:b/>
          <w:szCs w:val="21"/>
        </w:rPr>
      </w:pPr>
    </w:p>
    <w:p>
      <w:pPr>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b/>
          <w:szCs w:val="21"/>
        </w:rPr>
        <w:t>评审方法：</w:t>
      </w:r>
      <w:r>
        <w:rPr>
          <w:rFonts w:hint="eastAsia" w:cs="仿宋" w:asciiTheme="minorEastAsia" w:hAnsiTheme="minorEastAsia" w:eastAsiaTheme="minorEastAsia"/>
          <w:szCs w:val="21"/>
        </w:rPr>
        <w:t>综合评分法。</w:t>
      </w:r>
    </w:p>
    <w:p>
      <w:pPr>
        <w:spacing w:line="360" w:lineRule="auto"/>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综合评分法，是指投标文件满足征集文件全部实质性要求，且按照评审因素的量化指标评审得分最高的投标供应商为中标候选供应商的评审方法。</w:t>
      </w:r>
    </w:p>
    <w:p>
      <w:pPr>
        <w:spacing w:line="360" w:lineRule="auto"/>
        <w:ind w:firstLine="422" w:firstLineChars="200"/>
        <w:jc w:val="left"/>
        <w:rPr>
          <w:rFonts w:cs="仿宋" w:asciiTheme="minorEastAsia" w:hAnsiTheme="minorEastAsia" w:eastAsiaTheme="minorEastAsia"/>
          <w:szCs w:val="21"/>
        </w:rPr>
      </w:pPr>
      <w:r>
        <w:rPr>
          <w:rFonts w:hint="eastAsia" w:cs="仿宋" w:asciiTheme="minorEastAsia" w:hAnsiTheme="minorEastAsia" w:eastAsiaTheme="minorEastAsia"/>
          <w:b/>
          <w:bCs/>
          <w:szCs w:val="21"/>
        </w:rPr>
        <w:t>公开征集采购方式说明：</w:t>
      </w:r>
      <w:r>
        <w:rPr>
          <w:rFonts w:hint="eastAsia" w:cs="仿宋" w:asciiTheme="minorEastAsia" w:hAnsiTheme="minorEastAsia" w:eastAsiaTheme="minorEastAsia"/>
          <w:szCs w:val="21"/>
        </w:rPr>
        <w:t>因有效投标供应商不足三家而致公开征集失败的，采购单位可结合实际需要，重新实施采购或依据有效投标供应商数量，在评标现场即转为邀请竞标或直接采购。</w:t>
      </w:r>
    </w:p>
    <w:p>
      <w:pPr>
        <w:spacing w:line="360" w:lineRule="auto"/>
        <w:ind w:firstLine="422" w:firstLineChars="200"/>
        <w:jc w:val="left"/>
        <w:rPr>
          <w:rFonts w:cs="仿宋" w:asciiTheme="minorEastAsia" w:hAnsiTheme="minorEastAsia" w:eastAsiaTheme="minorEastAsia"/>
          <w:szCs w:val="21"/>
        </w:rPr>
      </w:pPr>
      <w:r>
        <w:rPr>
          <w:rFonts w:hint="eastAsia" w:cs="仿宋" w:asciiTheme="minorEastAsia" w:hAnsiTheme="minorEastAsia" w:eastAsiaTheme="minorEastAsia"/>
          <w:b/>
          <w:bCs/>
          <w:szCs w:val="21"/>
        </w:rPr>
        <w:t>邀请竞标采购方式说明</w:t>
      </w:r>
      <w:r>
        <w:rPr>
          <w:rFonts w:hint="eastAsia" w:cs="仿宋" w:asciiTheme="minorEastAsia" w:hAnsiTheme="minorEastAsia" w:eastAsiaTheme="minorEastAsia"/>
          <w:szCs w:val="21"/>
        </w:rPr>
        <w:t xml:space="preserve">：是指邀请特定范围内 2家以上供应商参加投标，由采购单位代表、评审专家成立评审组根据本项目评审信息评审并确定中标供应商的采购方式。            </w:t>
      </w:r>
    </w:p>
    <w:p>
      <w:pPr>
        <w:spacing w:line="360" w:lineRule="auto"/>
        <w:ind w:firstLine="422" w:firstLineChars="200"/>
        <w:jc w:val="left"/>
        <w:rPr>
          <w:rFonts w:asciiTheme="minorEastAsia" w:hAnsiTheme="minorEastAsia" w:eastAsiaTheme="minorEastAsia"/>
          <w:szCs w:val="21"/>
        </w:rPr>
      </w:pPr>
      <w:r>
        <w:rPr>
          <w:rFonts w:hint="eastAsia" w:cs="仿宋" w:asciiTheme="minorEastAsia" w:hAnsiTheme="minorEastAsia" w:eastAsiaTheme="minorEastAsia"/>
          <w:b/>
          <w:bCs/>
          <w:szCs w:val="21"/>
        </w:rPr>
        <w:t>直接采购采购方式说明</w:t>
      </w:r>
      <w:r>
        <w:rPr>
          <w:rFonts w:hint="eastAsia" w:cs="仿宋" w:asciiTheme="minorEastAsia" w:hAnsiTheme="minorEastAsia" w:eastAsiaTheme="minorEastAsia"/>
          <w:szCs w:val="21"/>
        </w:rPr>
        <w:t>：是指采购单位自行与唯一供应商通过谈判确定成交的采购方式。</w:t>
      </w:r>
    </w:p>
    <w:tbl>
      <w:tblPr>
        <w:tblStyle w:val="18"/>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095"/>
        <w:gridCol w:w="720"/>
        <w:gridCol w:w="6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57" w:type="dxa"/>
            <w:tcBorders>
              <w:top w:val="double" w:color="auto" w:sz="4" w:space="0"/>
              <w:left w:val="double" w:color="auto" w:sz="4" w:space="0"/>
              <w:bottom w:val="single" w:color="auto" w:sz="4" w:space="0"/>
            </w:tcBorders>
            <w:shd w:val="clear" w:color="auto" w:fill="8DB3E2"/>
            <w:vAlign w:val="center"/>
          </w:tcPr>
          <w:p>
            <w:pPr>
              <w:adjustRightInd w:val="0"/>
              <w:snapToGrid w:val="0"/>
              <w:spacing w:line="360" w:lineRule="auto"/>
              <w:jc w:val="center"/>
              <w:rPr>
                <w:rFonts w:ascii="宋体" w:hAnsi="宋体" w:cs="宋体"/>
                <w:b/>
                <w:bCs/>
                <w:snapToGrid w:val="0"/>
                <w:kern w:val="0"/>
                <w:szCs w:val="21"/>
              </w:rPr>
            </w:pPr>
            <w:r>
              <w:rPr>
                <w:rFonts w:hint="eastAsia" w:ascii="宋体" w:hAnsi="宋体" w:cs="宋体"/>
                <w:b/>
                <w:bCs/>
                <w:snapToGrid w:val="0"/>
                <w:kern w:val="0"/>
                <w:szCs w:val="21"/>
              </w:rPr>
              <w:t>类别</w:t>
            </w:r>
          </w:p>
        </w:tc>
        <w:tc>
          <w:tcPr>
            <w:tcW w:w="1095" w:type="dxa"/>
            <w:tcBorders>
              <w:top w:val="double" w:color="auto" w:sz="4" w:space="0"/>
            </w:tcBorders>
            <w:shd w:val="clear" w:color="auto" w:fill="8DB3E2"/>
            <w:vAlign w:val="center"/>
          </w:tcPr>
          <w:p>
            <w:pPr>
              <w:adjustRightInd w:val="0"/>
              <w:snapToGrid w:val="0"/>
              <w:spacing w:line="360" w:lineRule="auto"/>
              <w:jc w:val="center"/>
              <w:rPr>
                <w:rFonts w:ascii="宋体" w:hAnsi="宋体" w:cs="宋体"/>
                <w:b/>
                <w:bCs/>
                <w:snapToGrid w:val="0"/>
                <w:kern w:val="0"/>
                <w:szCs w:val="21"/>
              </w:rPr>
            </w:pPr>
            <w:r>
              <w:rPr>
                <w:rFonts w:hint="eastAsia" w:ascii="宋体" w:hAnsi="宋体" w:cs="宋体"/>
                <w:b/>
                <w:bCs/>
                <w:snapToGrid w:val="0"/>
                <w:kern w:val="0"/>
                <w:szCs w:val="21"/>
              </w:rPr>
              <w:t>评分项目</w:t>
            </w:r>
          </w:p>
        </w:tc>
        <w:tc>
          <w:tcPr>
            <w:tcW w:w="720" w:type="dxa"/>
            <w:tcBorders>
              <w:top w:val="double" w:color="auto" w:sz="4" w:space="0"/>
            </w:tcBorders>
            <w:shd w:val="clear" w:color="auto" w:fill="8DB3E2"/>
            <w:vAlign w:val="center"/>
          </w:tcPr>
          <w:p>
            <w:pPr>
              <w:widowControl/>
              <w:adjustRightInd w:val="0"/>
              <w:snapToGrid w:val="0"/>
              <w:spacing w:after="60" w:line="360" w:lineRule="auto"/>
              <w:jc w:val="center"/>
              <w:rPr>
                <w:rFonts w:ascii="宋体" w:hAnsi="宋体" w:cs="宋体"/>
                <w:snapToGrid w:val="0"/>
                <w:kern w:val="0"/>
                <w:szCs w:val="21"/>
              </w:rPr>
            </w:pPr>
            <w:r>
              <w:rPr>
                <w:rFonts w:hint="eastAsia" w:ascii="宋体" w:hAnsi="宋体" w:cs="宋体"/>
                <w:b/>
                <w:bCs/>
                <w:snapToGrid w:val="0"/>
                <w:kern w:val="0"/>
                <w:szCs w:val="21"/>
              </w:rPr>
              <w:t>分值</w:t>
            </w:r>
          </w:p>
        </w:tc>
        <w:tc>
          <w:tcPr>
            <w:tcW w:w="6796" w:type="dxa"/>
            <w:tcBorders>
              <w:top w:val="double" w:color="auto" w:sz="4" w:space="0"/>
              <w:right w:val="double" w:color="auto" w:sz="4" w:space="0"/>
            </w:tcBorders>
            <w:shd w:val="clear" w:color="auto" w:fill="8DB3E2"/>
            <w:vAlign w:val="center"/>
          </w:tcPr>
          <w:p>
            <w:pPr>
              <w:adjustRightInd w:val="0"/>
              <w:snapToGrid w:val="0"/>
              <w:spacing w:line="360" w:lineRule="auto"/>
              <w:jc w:val="center"/>
              <w:rPr>
                <w:rFonts w:ascii="宋体" w:hAnsi="宋体" w:cs="宋体"/>
                <w:b/>
                <w:bCs/>
                <w:snapToGrid w:val="0"/>
                <w:kern w:val="0"/>
                <w:szCs w:val="21"/>
              </w:rPr>
            </w:pPr>
            <w:r>
              <w:rPr>
                <w:rFonts w:hint="eastAsia" w:ascii="宋体" w:hAnsi="宋体" w:cs="宋体"/>
                <w:b/>
                <w:bCs/>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Borders>
              <w:left w:val="double" w:color="auto" w:sz="4" w:space="0"/>
            </w:tcBorders>
            <w:vAlign w:val="center"/>
          </w:tcPr>
          <w:p>
            <w:pPr>
              <w:adjustRightInd w:val="0"/>
              <w:spacing w:line="360" w:lineRule="auto"/>
              <w:jc w:val="center"/>
              <w:rPr>
                <w:rFonts w:ascii="宋体" w:hAnsi="宋体" w:cs="宋体"/>
                <w:b/>
                <w:bCs/>
                <w:snapToGrid w:val="0"/>
                <w:kern w:val="0"/>
                <w:szCs w:val="21"/>
              </w:rPr>
            </w:pPr>
            <w:r>
              <w:rPr>
                <w:rFonts w:hint="eastAsia" w:ascii="宋体" w:hAnsi="宋体" w:cs="宋体"/>
                <w:b/>
                <w:bCs/>
                <w:snapToGrid w:val="0"/>
                <w:kern w:val="0"/>
                <w:szCs w:val="21"/>
              </w:rPr>
              <w:t>价格标（G）</w:t>
            </w:r>
          </w:p>
          <w:p>
            <w:pPr>
              <w:adjustRightInd w:val="0"/>
              <w:spacing w:line="360" w:lineRule="auto"/>
              <w:jc w:val="center"/>
              <w:rPr>
                <w:rFonts w:ascii="宋体" w:hAnsi="宋体" w:cs="宋体"/>
                <w:b/>
                <w:bCs/>
                <w:snapToGrid w:val="0"/>
                <w:kern w:val="0"/>
                <w:szCs w:val="21"/>
              </w:rPr>
            </w:pPr>
            <w:r>
              <w:rPr>
                <w:rFonts w:hint="eastAsia" w:ascii="宋体" w:hAnsi="宋体" w:cs="宋体"/>
                <w:b/>
                <w:bCs/>
                <w:snapToGrid w:val="0"/>
                <w:kern w:val="0"/>
                <w:szCs w:val="21"/>
              </w:rPr>
              <w:t>（总分15分）</w:t>
            </w:r>
          </w:p>
        </w:tc>
        <w:tc>
          <w:tcPr>
            <w:tcW w:w="1095" w:type="dxa"/>
            <w:vAlign w:val="center"/>
          </w:tcPr>
          <w:p>
            <w:pPr>
              <w:adjustRightInd w:val="0"/>
              <w:spacing w:line="360" w:lineRule="auto"/>
              <w:jc w:val="center"/>
              <w:rPr>
                <w:rFonts w:ascii="宋体" w:hAnsi="宋体" w:cs="宋体"/>
                <w:kern w:val="0"/>
                <w:szCs w:val="21"/>
              </w:rPr>
            </w:pPr>
            <w:r>
              <w:rPr>
                <w:rFonts w:hint="eastAsia" w:ascii="宋体" w:hAnsi="宋体" w:cs="宋体"/>
                <w:kern w:val="0"/>
                <w:szCs w:val="21"/>
              </w:rPr>
              <w:t>投标报价</w:t>
            </w:r>
          </w:p>
        </w:tc>
        <w:tc>
          <w:tcPr>
            <w:tcW w:w="720" w:type="dxa"/>
            <w:vAlign w:val="center"/>
          </w:tcPr>
          <w:p>
            <w:pPr>
              <w:adjustRightInd w:val="0"/>
              <w:spacing w:line="360" w:lineRule="auto"/>
              <w:jc w:val="center"/>
              <w:rPr>
                <w:rFonts w:ascii="宋体" w:hAnsi="宋体" w:cs="宋体"/>
                <w:kern w:val="0"/>
                <w:szCs w:val="21"/>
              </w:rPr>
            </w:pPr>
            <w:r>
              <w:rPr>
                <w:rFonts w:hint="eastAsia" w:ascii="宋体" w:hAnsi="宋体" w:cs="宋体"/>
                <w:kern w:val="0"/>
                <w:szCs w:val="21"/>
              </w:rPr>
              <w:t>15</w:t>
            </w:r>
          </w:p>
        </w:tc>
        <w:tc>
          <w:tcPr>
            <w:tcW w:w="6796" w:type="dxa"/>
            <w:tcBorders>
              <w:right w:val="double" w:color="auto" w:sz="4" w:space="0"/>
            </w:tcBorders>
            <w:vAlign w:val="center"/>
          </w:tcPr>
          <w:p>
            <w:pPr>
              <w:adjustRightInd w:val="0"/>
              <w:spacing w:line="360" w:lineRule="auto"/>
              <w:jc w:val="left"/>
              <w:rPr>
                <w:rFonts w:ascii="宋体" w:hAnsi="宋体" w:cs="宋体"/>
                <w:kern w:val="0"/>
                <w:szCs w:val="21"/>
              </w:rPr>
            </w:pPr>
            <w:r>
              <w:rPr>
                <w:rFonts w:hint="eastAsia" w:ascii="宋体" w:hAnsi="宋体" w:cs="宋体"/>
                <w:kern w:val="0"/>
                <w:szCs w:val="21"/>
              </w:rPr>
              <w:t>价格分按以下方案计算：</w:t>
            </w:r>
          </w:p>
          <w:p>
            <w:pPr>
              <w:adjustRightInd w:val="0"/>
              <w:spacing w:line="360" w:lineRule="auto"/>
              <w:jc w:val="left"/>
              <w:rPr>
                <w:rFonts w:ascii="宋体" w:hAnsi="宋体" w:cs="宋体"/>
                <w:kern w:val="0"/>
                <w:szCs w:val="21"/>
              </w:rPr>
            </w:pPr>
            <w:r>
              <w:rPr>
                <w:rFonts w:hint="eastAsia" w:ascii="宋体" w:hAnsi="宋体" w:cs="宋体"/>
                <w:kern w:val="0"/>
                <w:szCs w:val="21"/>
              </w:rPr>
              <w:t>投标报价得分= Z/Sn×10</w:t>
            </w:r>
          </w:p>
          <w:p>
            <w:pPr>
              <w:adjustRightInd w:val="0"/>
              <w:spacing w:line="360" w:lineRule="auto"/>
              <w:jc w:val="left"/>
              <w:rPr>
                <w:rFonts w:ascii="宋体" w:hAnsi="宋体" w:cs="宋体"/>
                <w:kern w:val="0"/>
                <w:szCs w:val="21"/>
              </w:rPr>
            </w:pPr>
            <w:r>
              <w:rPr>
                <w:rFonts w:hint="eastAsia" w:ascii="宋体" w:hAnsi="宋体" w:cs="宋体"/>
                <w:kern w:val="0"/>
                <w:szCs w:val="21"/>
              </w:rPr>
              <w:t>其中： Z --评标基准价，即通过资格性审查和符合性审查且投标价格最低的投标报价</w:t>
            </w:r>
          </w:p>
          <w:p>
            <w:pPr>
              <w:adjustRightInd w:val="0"/>
              <w:spacing w:line="360" w:lineRule="auto"/>
              <w:rPr>
                <w:rFonts w:ascii="宋体" w:hAnsi="宋体" w:cs="宋体"/>
                <w:kern w:val="0"/>
                <w:szCs w:val="21"/>
              </w:rPr>
            </w:pPr>
            <w:r>
              <w:rPr>
                <w:rFonts w:hint="eastAsia" w:ascii="宋体" w:hAnsi="宋体" w:cs="宋体"/>
                <w:kern w:val="0"/>
                <w:szCs w:val="21"/>
              </w:rPr>
              <w:tab/>
            </w:r>
            <w:r>
              <w:rPr>
                <w:rFonts w:hint="eastAsia" w:ascii="宋体" w:hAnsi="宋体" w:cs="宋体"/>
                <w:kern w:val="0"/>
                <w:szCs w:val="21"/>
              </w:rPr>
              <w:t xml:space="preserve">  Sn ---投标报价，即通过资格性审查和符合性审查的投标报价。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Merge w:val="restart"/>
            <w:tcBorders>
              <w:left w:val="double" w:color="auto" w:sz="4" w:space="0"/>
            </w:tcBorders>
            <w:vAlign w:val="center"/>
          </w:tcPr>
          <w:p>
            <w:pPr>
              <w:adjustRightInd w:val="0"/>
              <w:spacing w:line="360" w:lineRule="auto"/>
              <w:jc w:val="center"/>
              <w:rPr>
                <w:rFonts w:ascii="宋体" w:hAnsi="宋体" w:cs="宋体"/>
                <w:b/>
                <w:bCs/>
                <w:snapToGrid w:val="0"/>
                <w:kern w:val="0"/>
                <w:szCs w:val="21"/>
              </w:rPr>
            </w:pPr>
            <w:r>
              <w:rPr>
                <w:rFonts w:hint="eastAsia" w:ascii="宋体" w:hAnsi="宋体" w:cs="宋体"/>
                <w:b/>
                <w:bCs/>
                <w:snapToGrid w:val="0"/>
                <w:kern w:val="0"/>
                <w:szCs w:val="21"/>
              </w:rPr>
              <w:t>技术标（J）</w:t>
            </w:r>
          </w:p>
          <w:p>
            <w:pPr>
              <w:adjustRightInd w:val="0"/>
              <w:spacing w:line="360" w:lineRule="auto"/>
              <w:jc w:val="center"/>
              <w:rPr>
                <w:rFonts w:ascii="宋体" w:hAnsi="宋体" w:cs="宋体"/>
                <w:b/>
                <w:bCs/>
                <w:snapToGrid w:val="0"/>
                <w:kern w:val="0"/>
                <w:szCs w:val="21"/>
              </w:rPr>
            </w:pPr>
            <w:r>
              <w:rPr>
                <w:rFonts w:hint="eastAsia" w:ascii="宋体" w:hAnsi="宋体" w:cs="宋体"/>
                <w:b/>
                <w:bCs/>
                <w:snapToGrid w:val="0"/>
                <w:kern w:val="0"/>
                <w:szCs w:val="21"/>
              </w:rPr>
              <w:t>（总分68分）</w:t>
            </w:r>
          </w:p>
        </w:tc>
        <w:tc>
          <w:tcPr>
            <w:tcW w:w="1095" w:type="dxa"/>
            <w:vAlign w:val="center"/>
          </w:tcPr>
          <w:p>
            <w:pPr>
              <w:adjustRightInd w:val="0"/>
              <w:spacing w:line="360" w:lineRule="auto"/>
              <w:jc w:val="center"/>
              <w:rPr>
                <w:rFonts w:ascii="宋体" w:hAnsi="宋体" w:cs="宋体"/>
                <w:kern w:val="0"/>
                <w:szCs w:val="21"/>
              </w:rPr>
            </w:pPr>
            <w:r>
              <w:rPr>
                <w:rFonts w:hint="eastAsia" w:ascii="宋体" w:hAnsi="宋体" w:cs="宋体"/>
                <w:kern w:val="0"/>
                <w:szCs w:val="21"/>
              </w:rPr>
              <w:t>实施方案</w:t>
            </w:r>
          </w:p>
        </w:tc>
        <w:tc>
          <w:tcPr>
            <w:tcW w:w="720" w:type="dxa"/>
            <w:vAlign w:val="center"/>
          </w:tcPr>
          <w:p>
            <w:pPr>
              <w:spacing w:line="360" w:lineRule="auto"/>
              <w:jc w:val="center"/>
              <w:rPr>
                <w:rFonts w:ascii="宋体" w:hAnsi="宋体" w:cs="宋体"/>
                <w:kern w:val="0"/>
                <w:szCs w:val="21"/>
              </w:rPr>
            </w:pPr>
            <w:r>
              <w:rPr>
                <w:rFonts w:hint="eastAsia" w:ascii="宋体" w:hAnsi="宋体" w:cs="宋体"/>
                <w:kern w:val="0"/>
                <w:szCs w:val="21"/>
              </w:rPr>
              <w:t>15</w:t>
            </w:r>
          </w:p>
        </w:tc>
        <w:tc>
          <w:tcPr>
            <w:tcW w:w="6796" w:type="dxa"/>
            <w:tcBorders>
              <w:right w:val="double" w:color="auto" w:sz="4" w:space="0"/>
            </w:tcBorders>
            <w:vAlign w:val="center"/>
          </w:tcPr>
          <w:p>
            <w:pPr>
              <w:adjustRightInd w:val="0"/>
              <w:spacing w:line="360" w:lineRule="auto"/>
              <w:rPr>
                <w:rFonts w:ascii="宋体" w:hAnsi="宋体" w:cs="宋体"/>
                <w:b/>
                <w:bCs/>
                <w:kern w:val="0"/>
                <w:szCs w:val="21"/>
              </w:rPr>
            </w:pPr>
            <w:r>
              <w:rPr>
                <w:rFonts w:hint="eastAsia" w:ascii="宋体" w:hAnsi="宋体" w:cs="宋体"/>
                <w:b/>
                <w:bCs/>
                <w:kern w:val="0"/>
                <w:szCs w:val="21"/>
              </w:rPr>
              <w:t>评审内容：</w:t>
            </w:r>
          </w:p>
          <w:p>
            <w:pPr>
              <w:adjustRightInd w:val="0"/>
              <w:spacing w:line="360" w:lineRule="auto"/>
              <w:rPr>
                <w:rFonts w:ascii="宋体" w:hAnsi="宋体" w:cs="宋体"/>
                <w:kern w:val="0"/>
                <w:szCs w:val="21"/>
              </w:rPr>
            </w:pPr>
            <w:r>
              <w:rPr>
                <w:rFonts w:hint="eastAsia" w:ascii="宋体" w:hAnsi="宋体" w:cs="宋体"/>
                <w:kern w:val="0"/>
                <w:szCs w:val="21"/>
              </w:rPr>
              <w:t>投标人通过合理的实施方案充分阐述对地铁警用通信系统运维服务工作的理解，实施方案包含以下内容：</w:t>
            </w:r>
          </w:p>
          <w:p>
            <w:pPr>
              <w:adjustRightInd w:val="0"/>
              <w:spacing w:line="360" w:lineRule="auto"/>
              <w:rPr>
                <w:rFonts w:ascii="宋体" w:hAnsi="宋体" w:cs="宋体"/>
                <w:kern w:val="0"/>
                <w:szCs w:val="21"/>
              </w:rPr>
            </w:pPr>
            <w:r>
              <w:rPr>
                <w:rFonts w:hint="eastAsia" w:ascii="宋体" w:hAnsi="宋体" w:cs="宋体"/>
                <w:kern w:val="0"/>
                <w:szCs w:val="21"/>
              </w:rPr>
              <w:t>1.投标人须提出地铁警用通信系统运维服务工作的背景和目标；</w:t>
            </w:r>
          </w:p>
          <w:p>
            <w:pPr>
              <w:adjustRightInd w:val="0"/>
              <w:spacing w:line="360" w:lineRule="auto"/>
              <w:rPr>
                <w:rFonts w:ascii="宋体" w:hAnsi="宋体" w:cs="宋体"/>
                <w:kern w:val="0"/>
                <w:szCs w:val="21"/>
              </w:rPr>
            </w:pPr>
            <w:r>
              <w:rPr>
                <w:rFonts w:hint="eastAsia" w:ascii="宋体" w:hAnsi="宋体" w:cs="宋体"/>
                <w:kern w:val="0"/>
                <w:szCs w:val="21"/>
              </w:rPr>
              <w:t>2.投标人须提出地铁警用通信系统运维服务工作的维护标准和管理办法、团队组织架构和人员安排、巡检制度、值班制度；</w:t>
            </w:r>
          </w:p>
          <w:p>
            <w:pPr>
              <w:adjustRightInd w:val="0"/>
              <w:spacing w:line="360" w:lineRule="auto"/>
              <w:rPr>
                <w:rFonts w:ascii="宋体" w:hAnsi="宋体" w:cs="宋体"/>
                <w:kern w:val="0"/>
                <w:szCs w:val="21"/>
              </w:rPr>
            </w:pPr>
            <w:r>
              <w:rPr>
                <w:rFonts w:hint="eastAsia" w:ascii="宋体" w:hAnsi="宋体" w:cs="宋体"/>
                <w:kern w:val="0"/>
                <w:szCs w:val="21"/>
              </w:rPr>
              <w:t>3.投标人须提出地铁警用通信系统运维服务工作的总体工作流程；</w:t>
            </w:r>
          </w:p>
          <w:p>
            <w:pPr>
              <w:adjustRightInd w:val="0"/>
              <w:spacing w:line="360" w:lineRule="auto"/>
              <w:rPr>
                <w:rFonts w:ascii="宋体" w:hAnsi="宋体" w:cs="宋体"/>
                <w:kern w:val="0"/>
                <w:szCs w:val="21"/>
              </w:rPr>
            </w:pPr>
            <w:r>
              <w:rPr>
                <w:rFonts w:hint="eastAsia" w:ascii="宋体" w:hAnsi="宋体" w:cs="宋体"/>
                <w:kern w:val="0"/>
                <w:szCs w:val="21"/>
              </w:rPr>
              <w:t>4.投标人须根据地铁警用通信系统运维服务工作的需要，提出运维场地和人员安全管理制度、信息系统和网络安全管理制度；</w:t>
            </w:r>
          </w:p>
          <w:p>
            <w:pPr>
              <w:adjustRightInd w:val="0"/>
              <w:spacing w:line="360" w:lineRule="auto"/>
              <w:rPr>
                <w:rFonts w:ascii="宋体" w:hAnsi="宋体" w:cs="宋体"/>
                <w:kern w:val="0"/>
                <w:szCs w:val="21"/>
              </w:rPr>
            </w:pPr>
            <w:r>
              <w:rPr>
                <w:rFonts w:hint="eastAsia" w:ascii="宋体" w:hAnsi="宋体" w:cs="宋体"/>
                <w:kern w:val="0"/>
                <w:szCs w:val="21"/>
              </w:rPr>
              <w:t>5.投标人须根据地铁警用通信系统运维服务工作的需要，提出应急保障预案。</w:t>
            </w:r>
          </w:p>
          <w:p>
            <w:pPr>
              <w:adjustRightInd w:val="0"/>
              <w:spacing w:line="360" w:lineRule="auto"/>
              <w:rPr>
                <w:rFonts w:ascii="宋体" w:hAnsi="宋体" w:cs="宋体"/>
                <w:kern w:val="0"/>
                <w:szCs w:val="21"/>
              </w:rPr>
            </w:pPr>
          </w:p>
          <w:p>
            <w:pPr>
              <w:adjustRightInd w:val="0"/>
              <w:spacing w:line="360" w:lineRule="auto"/>
              <w:rPr>
                <w:rFonts w:ascii="宋体" w:hAnsi="宋体" w:cs="宋体"/>
                <w:b/>
                <w:bCs/>
                <w:kern w:val="0"/>
                <w:szCs w:val="21"/>
              </w:rPr>
            </w:pPr>
            <w:r>
              <w:rPr>
                <w:rFonts w:hint="eastAsia" w:ascii="宋体" w:hAnsi="宋体" w:cs="宋体"/>
                <w:b/>
                <w:bCs/>
                <w:kern w:val="0"/>
                <w:szCs w:val="21"/>
              </w:rPr>
              <w:t>评审依据：</w:t>
            </w:r>
          </w:p>
          <w:p>
            <w:pPr>
              <w:adjustRightInd w:val="0"/>
              <w:spacing w:line="360" w:lineRule="auto"/>
              <w:rPr>
                <w:rFonts w:ascii="宋体" w:hAnsi="宋体" w:cs="宋体"/>
                <w:kern w:val="0"/>
                <w:szCs w:val="21"/>
              </w:rPr>
            </w:pPr>
            <w:r>
              <w:rPr>
                <w:rFonts w:hint="eastAsia" w:ascii="宋体" w:hAnsi="宋体" w:cs="宋体"/>
                <w:kern w:val="0"/>
                <w:szCs w:val="21"/>
              </w:rPr>
              <w:t>上述1-5项累计得分，满足任意一项得2.4分，满足全部五项得12分，未满足不得分；在此基础上，专家根据各投标人的具体响应内容进一步评审：</w:t>
            </w:r>
          </w:p>
          <w:p>
            <w:pPr>
              <w:adjustRightInd w:val="0"/>
              <w:spacing w:line="360" w:lineRule="auto"/>
              <w:rPr>
                <w:rFonts w:ascii="宋体" w:hAnsi="宋体" w:cs="宋体"/>
                <w:kern w:val="0"/>
                <w:szCs w:val="21"/>
              </w:rPr>
            </w:pPr>
            <w:r>
              <w:rPr>
                <w:rFonts w:hint="eastAsia" w:ascii="宋体" w:hAnsi="宋体" w:cs="宋体"/>
                <w:kern w:val="0"/>
                <w:szCs w:val="21"/>
              </w:rPr>
              <w:t>1）方案内容完整准确，思路清晰，贴合实际情况，措施内容详实具体，可执行性强的，得3分；</w:t>
            </w:r>
          </w:p>
          <w:p>
            <w:pPr>
              <w:adjustRightInd w:val="0"/>
              <w:spacing w:line="360" w:lineRule="auto"/>
              <w:rPr>
                <w:rFonts w:ascii="宋体" w:hAnsi="宋体" w:cs="宋体"/>
                <w:kern w:val="0"/>
                <w:szCs w:val="21"/>
              </w:rPr>
            </w:pPr>
            <w:r>
              <w:rPr>
                <w:rFonts w:hint="eastAsia" w:ascii="宋体" w:hAnsi="宋体" w:cs="宋体"/>
                <w:kern w:val="0"/>
                <w:szCs w:val="21"/>
              </w:rPr>
              <w:t>2）方案内容较完整准确，思路较清晰，较贴合实际情况，措施内容较详实具体，可执行性较强的，得2分；</w:t>
            </w:r>
          </w:p>
          <w:p>
            <w:pPr>
              <w:adjustRightInd w:val="0"/>
              <w:spacing w:line="360" w:lineRule="auto"/>
              <w:rPr>
                <w:rFonts w:ascii="宋体" w:hAnsi="宋体" w:cs="宋体"/>
                <w:kern w:val="0"/>
                <w:szCs w:val="21"/>
              </w:rPr>
            </w:pPr>
            <w:r>
              <w:rPr>
                <w:rFonts w:hint="eastAsia" w:ascii="宋体" w:hAnsi="宋体" w:cs="宋体"/>
                <w:kern w:val="0"/>
                <w:szCs w:val="21"/>
              </w:rPr>
              <w:t>3）方案内容不够完整，思路不够清晰，不够贴合实际情况，措施内容不够详实具体，可执行性一般的，得1分；</w:t>
            </w:r>
          </w:p>
          <w:p>
            <w:pPr>
              <w:adjustRightInd w:val="0"/>
              <w:spacing w:line="360" w:lineRule="auto"/>
              <w:rPr>
                <w:rFonts w:ascii="宋体" w:hAnsi="宋体" w:cs="宋体"/>
                <w:kern w:val="0"/>
                <w:szCs w:val="21"/>
              </w:rPr>
            </w:pPr>
            <w:r>
              <w:rPr>
                <w:rFonts w:hint="eastAsia" w:ascii="宋体" w:hAnsi="宋体" w:cs="宋体"/>
                <w:kern w:val="0"/>
                <w:szCs w:val="21"/>
              </w:rPr>
              <w:t>4）未提供完整方案或方案内容过于简单的，不得分。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Merge w:val="continue"/>
            <w:tcBorders>
              <w:left w:val="double" w:color="auto" w:sz="4" w:space="0"/>
            </w:tcBorders>
            <w:vAlign w:val="center"/>
          </w:tcPr>
          <w:p>
            <w:pPr>
              <w:adjustRightInd w:val="0"/>
              <w:spacing w:line="360" w:lineRule="auto"/>
              <w:jc w:val="center"/>
              <w:rPr>
                <w:rFonts w:ascii="宋体" w:hAnsi="宋体" w:cs="宋体"/>
                <w:b/>
                <w:bCs/>
                <w:snapToGrid w:val="0"/>
                <w:kern w:val="0"/>
                <w:szCs w:val="21"/>
              </w:rPr>
            </w:pPr>
          </w:p>
        </w:tc>
        <w:tc>
          <w:tcPr>
            <w:tcW w:w="1095" w:type="dxa"/>
            <w:vAlign w:val="center"/>
          </w:tcPr>
          <w:p>
            <w:pPr>
              <w:adjustRightInd w:val="0"/>
              <w:spacing w:line="360" w:lineRule="auto"/>
              <w:jc w:val="center"/>
              <w:rPr>
                <w:rFonts w:ascii="宋体" w:hAnsi="宋体" w:cs="宋体"/>
                <w:kern w:val="0"/>
                <w:szCs w:val="21"/>
              </w:rPr>
            </w:pPr>
            <w:r>
              <w:rPr>
                <w:rFonts w:hint="eastAsia" w:ascii="宋体" w:hAnsi="宋体" w:cs="宋体"/>
                <w:kern w:val="0"/>
                <w:szCs w:val="21"/>
              </w:rPr>
              <w:t>项目重点难点分析、应对措施及相关的合理化建议</w:t>
            </w:r>
          </w:p>
        </w:tc>
        <w:tc>
          <w:tcPr>
            <w:tcW w:w="720" w:type="dxa"/>
            <w:vAlign w:val="center"/>
          </w:tcPr>
          <w:p>
            <w:pPr>
              <w:spacing w:line="360" w:lineRule="auto"/>
              <w:jc w:val="center"/>
              <w:rPr>
                <w:rFonts w:ascii="宋体" w:hAnsi="宋体" w:cs="宋体"/>
                <w:kern w:val="0"/>
                <w:szCs w:val="21"/>
              </w:rPr>
            </w:pPr>
            <w:r>
              <w:rPr>
                <w:rFonts w:hint="eastAsia" w:ascii="宋体" w:hAnsi="宋体" w:cs="宋体"/>
                <w:kern w:val="0"/>
                <w:szCs w:val="21"/>
              </w:rPr>
              <w:t>13</w:t>
            </w:r>
          </w:p>
        </w:tc>
        <w:tc>
          <w:tcPr>
            <w:tcW w:w="6796" w:type="dxa"/>
            <w:tcBorders>
              <w:right w:val="double" w:color="auto" w:sz="4" w:space="0"/>
            </w:tcBorders>
            <w:vAlign w:val="center"/>
          </w:tcPr>
          <w:p>
            <w:pPr>
              <w:adjustRightInd w:val="0"/>
              <w:spacing w:line="360" w:lineRule="auto"/>
              <w:rPr>
                <w:rFonts w:ascii="宋体" w:hAnsi="宋体" w:cs="宋体"/>
                <w:b/>
                <w:bCs/>
                <w:kern w:val="0"/>
                <w:szCs w:val="21"/>
              </w:rPr>
            </w:pPr>
            <w:r>
              <w:rPr>
                <w:rFonts w:hint="eastAsia" w:ascii="宋体" w:hAnsi="宋体" w:cs="宋体"/>
                <w:b/>
                <w:bCs/>
                <w:kern w:val="0"/>
                <w:szCs w:val="21"/>
              </w:rPr>
              <w:t>评审内容：</w:t>
            </w:r>
          </w:p>
          <w:p>
            <w:pPr>
              <w:adjustRightInd w:val="0"/>
              <w:spacing w:line="360" w:lineRule="auto"/>
              <w:rPr>
                <w:rFonts w:ascii="宋体" w:hAnsi="宋体" w:cs="宋体"/>
                <w:kern w:val="0"/>
                <w:szCs w:val="21"/>
              </w:rPr>
            </w:pPr>
            <w:r>
              <w:rPr>
                <w:rFonts w:hint="eastAsia" w:ascii="宋体" w:hAnsi="宋体" w:cs="宋体"/>
                <w:kern w:val="0"/>
                <w:szCs w:val="21"/>
              </w:rPr>
              <w:t>投标人须对以下各项服务内容在服务过程中的重点、难点问题进行分析并给出合理性建议：</w:t>
            </w:r>
          </w:p>
          <w:p>
            <w:pPr>
              <w:adjustRightInd w:val="0"/>
              <w:spacing w:line="360" w:lineRule="auto"/>
              <w:rPr>
                <w:rFonts w:ascii="宋体" w:hAnsi="宋体" w:cs="宋体"/>
                <w:kern w:val="0"/>
                <w:szCs w:val="21"/>
              </w:rPr>
            </w:pPr>
            <w:r>
              <w:rPr>
                <w:rFonts w:hint="eastAsia" w:ascii="宋体" w:hAnsi="宋体" w:cs="宋体"/>
                <w:kern w:val="0"/>
                <w:szCs w:val="21"/>
              </w:rPr>
              <w:t>1.有线通信和信息网络系统重点难点分析及应对措施，包括故障管控、安全管控、线路维护等；</w:t>
            </w:r>
          </w:p>
          <w:p>
            <w:pPr>
              <w:adjustRightInd w:val="0"/>
              <w:spacing w:line="360" w:lineRule="auto"/>
              <w:rPr>
                <w:rFonts w:ascii="宋体" w:hAnsi="宋体" w:cs="宋体"/>
                <w:kern w:val="0"/>
                <w:szCs w:val="21"/>
              </w:rPr>
            </w:pPr>
            <w:r>
              <w:rPr>
                <w:rFonts w:hint="eastAsia" w:ascii="宋体" w:hAnsi="宋体" w:cs="宋体"/>
                <w:kern w:val="0"/>
                <w:szCs w:val="21"/>
              </w:rPr>
              <w:t>2.警用视频监控系统重点难点分析及应对措施，包括路由、点位、安全问题、防尘防潮、防雷抗干扰、管理平台故障、硬件故障、图像失真丢失等；</w:t>
            </w:r>
          </w:p>
          <w:p>
            <w:pPr>
              <w:adjustRightInd w:val="0"/>
              <w:spacing w:line="360" w:lineRule="auto"/>
              <w:rPr>
                <w:rFonts w:ascii="宋体" w:hAnsi="宋体" w:cs="宋体"/>
                <w:kern w:val="0"/>
                <w:szCs w:val="21"/>
              </w:rPr>
            </w:pPr>
            <w:r>
              <w:rPr>
                <w:rFonts w:hint="eastAsia" w:ascii="宋体" w:hAnsi="宋体" w:cs="宋体"/>
                <w:kern w:val="0"/>
                <w:szCs w:val="21"/>
              </w:rPr>
              <w:t>3.警用无线通信系统重点难点分析及应对措施，包括故障处理、基站巡检、物业维系等。</w:t>
            </w:r>
          </w:p>
          <w:p>
            <w:pPr>
              <w:adjustRightInd w:val="0"/>
              <w:spacing w:line="360" w:lineRule="auto"/>
              <w:rPr>
                <w:rFonts w:ascii="宋体" w:hAnsi="宋体" w:cs="宋体"/>
                <w:b/>
                <w:bCs/>
                <w:kern w:val="0"/>
                <w:szCs w:val="21"/>
              </w:rPr>
            </w:pPr>
          </w:p>
          <w:p>
            <w:pPr>
              <w:adjustRightInd w:val="0"/>
              <w:spacing w:line="360" w:lineRule="auto"/>
              <w:rPr>
                <w:rFonts w:ascii="宋体" w:hAnsi="宋体" w:cs="宋体"/>
                <w:b/>
                <w:bCs/>
                <w:kern w:val="0"/>
                <w:szCs w:val="21"/>
              </w:rPr>
            </w:pPr>
            <w:r>
              <w:rPr>
                <w:rFonts w:hint="eastAsia" w:ascii="宋体" w:hAnsi="宋体" w:cs="宋体"/>
                <w:b/>
                <w:bCs/>
                <w:kern w:val="0"/>
                <w:szCs w:val="21"/>
              </w:rPr>
              <w:t>评审依据：</w:t>
            </w:r>
          </w:p>
          <w:p>
            <w:pPr>
              <w:adjustRightInd w:val="0"/>
              <w:spacing w:line="360" w:lineRule="auto"/>
              <w:rPr>
                <w:rFonts w:ascii="宋体" w:hAnsi="宋体" w:cs="宋体"/>
                <w:kern w:val="0"/>
                <w:szCs w:val="21"/>
              </w:rPr>
            </w:pPr>
            <w:r>
              <w:rPr>
                <w:rFonts w:hint="eastAsia" w:ascii="宋体" w:hAnsi="宋体" w:cs="宋体"/>
                <w:kern w:val="0"/>
                <w:szCs w:val="21"/>
              </w:rPr>
              <w:t>上述1-3项累计得分，满足任意一项得3分，满足全部三项得9分，未满足不得分；在此基础上，专家根据各投标人的具体响应内容进一步评审：</w:t>
            </w:r>
          </w:p>
          <w:p>
            <w:pPr>
              <w:adjustRightInd w:val="0"/>
              <w:spacing w:line="360" w:lineRule="auto"/>
              <w:rPr>
                <w:rFonts w:ascii="宋体" w:hAnsi="宋体" w:cs="宋体"/>
                <w:kern w:val="0"/>
                <w:szCs w:val="21"/>
              </w:rPr>
            </w:pPr>
            <w:r>
              <w:rPr>
                <w:rFonts w:hint="eastAsia" w:ascii="宋体" w:hAnsi="宋体" w:cs="宋体"/>
                <w:kern w:val="0"/>
                <w:szCs w:val="21"/>
              </w:rPr>
              <w:t>1）内容完整准确，对项目重点难点分析、应对措施及相关的合理化建议准确有效的，得4分；</w:t>
            </w:r>
          </w:p>
          <w:p>
            <w:pPr>
              <w:adjustRightInd w:val="0"/>
              <w:spacing w:line="360" w:lineRule="auto"/>
              <w:rPr>
                <w:rFonts w:ascii="宋体" w:hAnsi="宋体" w:cs="宋体"/>
                <w:kern w:val="0"/>
                <w:szCs w:val="21"/>
              </w:rPr>
            </w:pPr>
            <w:r>
              <w:rPr>
                <w:rFonts w:hint="eastAsia" w:ascii="宋体" w:hAnsi="宋体" w:cs="宋体"/>
                <w:kern w:val="0"/>
                <w:szCs w:val="21"/>
              </w:rPr>
              <w:t>2）内容较完整准确，对项目重点难点分析、应对措施及相关的合理化建议比较准确有效的，得2分；</w:t>
            </w:r>
          </w:p>
          <w:p>
            <w:pPr>
              <w:adjustRightInd w:val="0"/>
              <w:spacing w:line="360" w:lineRule="auto"/>
              <w:rPr>
                <w:rFonts w:ascii="宋体" w:hAnsi="宋体" w:cs="宋体"/>
                <w:kern w:val="0"/>
                <w:szCs w:val="21"/>
              </w:rPr>
            </w:pPr>
            <w:r>
              <w:rPr>
                <w:rFonts w:hint="eastAsia" w:ascii="宋体" w:hAnsi="宋体" w:cs="宋体"/>
                <w:kern w:val="0"/>
                <w:szCs w:val="21"/>
              </w:rPr>
              <w:t>3）内容完整准确度一般，对项目重点难点分析、应对措施及相关的合理化建议基本准确有效的，得1分；</w:t>
            </w:r>
          </w:p>
          <w:p>
            <w:pPr>
              <w:adjustRightInd w:val="0"/>
              <w:spacing w:line="360" w:lineRule="auto"/>
              <w:rPr>
                <w:rFonts w:ascii="宋体" w:hAnsi="宋体" w:cs="宋体"/>
                <w:kern w:val="0"/>
                <w:szCs w:val="21"/>
              </w:rPr>
            </w:pPr>
            <w:r>
              <w:rPr>
                <w:rFonts w:hint="eastAsia" w:ascii="宋体" w:hAnsi="宋体" w:cs="宋体"/>
                <w:kern w:val="0"/>
                <w:szCs w:val="21"/>
              </w:rPr>
              <w:t>4）内容不完整且不准确，对项目重点难点分析、应对措施及相关的合理化建议不够准确有效的不得分。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Merge w:val="continue"/>
            <w:tcBorders>
              <w:left w:val="double" w:color="auto" w:sz="4" w:space="0"/>
            </w:tcBorders>
            <w:vAlign w:val="center"/>
          </w:tcPr>
          <w:p>
            <w:pPr>
              <w:adjustRightInd w:val="0"/>
              <w:spacing w:line="360" w:lineRule="auto"/>
              <w:jc w:val="center"/>
              <w:rPr>
                <w:rFonts w:ascii="宋体" w:hAnsi="宋体" w:cs="宋体"/>
                <w:b/>
                <w:bCs/>
                <w:snapToGrid w:val="0"/>
                <w:kern w:val="0"/>
                <w:szCs w:val="21"/>
              </w:rPr>
            </w:pPr>
          </w:p>
        </w:tc>
        <w:tc>
          <w:tcPr>
            <w:tcW w:w="1095" w:type="dxa"/>
            <w:vAlign w:val="center"/>
          </w:tcPr>
          <w:p>
            <w:pPr>
              <w:adjustRightInd w:val="0"/>
              <w:spacing w:line="360" w:lineRule="auto"/>
              <w:jc w:val="center"/>
              <w:rPr>
                <w:rFonts w:ascii="宋体" w:hAnsi="宋体" w:cs="宋体"/>
                <w:kern w:val="0"/>
                <w:szCs w:val="21"/>
              </w:rPr>
            </w:pPr>
            <w:r>
              <w:rPr>
                <w:rFonts w:hint="eastAsia" w:ascii="宋体" w:hAnsi="宋体" w:cs="宋体"/>
                <w:kern w:val="0"/>
                <w:szCs w:val="21"/>
              </w:rPr>
              <w:t>质量（完成时间、安全、环保）保障措施及方案</w:t>
            </w:r>
          </w:p>
        </w:tc>
        <w:tc>
          <w:tcPr>
            <w:tcW w:w="720" w:type="dxa"/>
            <w:vAlign w:val="center"/>
          </w:tcPr>
          <w:p>
            <w:pPr>
              <w:spacing w:line="360" w:lineRule="auto"/>
              <w:jc w:val="center"/>
              <w:rPr>
                <w:rFonts w:ascii="宋体" w:hAnsi="宋体" w:cs="宋体"/>
                <w:kern w:val="0"/>
                <w:szCs w:val="21"/>
              </w:rPr>
            </w:pPr>
            <w:r>
              <w:rPr>
                <w:rFonts w:hint="eastAsia" w:ascii="宋体" w:hAnsi="宋体" w:cs="宋体"/>
                <w:kern w:val="0"/>
                <w:szCs w:val="21"/>
              </w:rPr>
              <w:t>7</w:t>
            </w:r>
          </w:p>
        </w:tc>
        <w:tc>
          <w:tcPr>
            <w:tcW w:w="6796" w:type="dxa"/>
            <w:tcBorders>
              <w:right w:val="double" w:color="auto" w:sz="4" w:space="0"/>
            </w:tcBorders>
            <w:vAlign w:val="center"/>
          </w:tcPr>
          <w:p>
            <w:pPr>
              <w:adjustRightInd w:val="0"/>
              <w:spacing w:line="360" w:lineRule="auto"/>
              <w:rPr>
                <w:rFonts w:ascii="宋体" w:hAnsi="宋体" w:cs="宋体"/>
                <w:kern w:val="0"/>
                <w:szCs w:val="21"/>
              </w:rPr>
            </w:pPr>
            <w:r>
              <w:rPr>
                <w:rFonts w:hint="eastAsia" w:ascii="宋体" w:hAnsi="宋体" w:cs="宋体"/>
                <w:b/>
                <w:bCs/>
                <w:kern w:val="0"/>
                <w:szCs w:val="21"/>
              </w:rPr>
              <w:t>评审内容：</w:t>
            </w:r>
          </w:p>
          <w:p>
            <w:pPr>
              <w:adjustRightInd w:val="0"/>
              <w:spacing w:line="360" w:lineRule="auto"/>
              <w:rPr>
                <w:rFonts w:ascii="宋体" w:hAnsi="宋体" w:cs="宋体"/>
                <w:kern w:val="0"/>
                <w:szCs w:val="21"/>
              </w:rPr>
            </w:pPr>
            <w:r>
              <w:rPr>
                <w:rFonts w:hint="eastAsia" w:ascii="宋体" w:hAnsi="宋体" w:cs="宋体"/>
                <w:kern w:val="0"/>
                <w:szCs w:val="21"/>
              </w:rPr>
              <w:t>投标人应根据本项目要求，提出符合本项目特点的质量保障措施及方案，内容包括：</w:t>
            </w:r>
          </w:p>
          <w:p>
            <w:pPr>
              <w:adjustRightInd w:val="0"/>
              <w:spacing w:line="360" w:lineRule="auto"/>
              <w:rPr>
                <w:rFonts w:ascii="宋体" w:hAnsi="宋体" w:cs="宋体"/>
                <w:kern w:val="0"/>
                <w:szCs w:val="21"/>
              </w:rPr>
            </w:pPr>
            <w:r>
              <w:rPr>
                <w:rFonts w:hint="eastAsia" w:ascii="宋体" w:hAnsi="宋体" w:cs="宋体"/>
                <w:kern w:val="0"/>
                <w:szCs w:val="21"/>
              </w:rPr>
              <w:t>1.进度计划保证措施；</w:t>
            </w:r>
          </w:p>
          <w:p>
            <w:pPr>
              <w:adjustRightInd w:val="0"/>
              <w:spacing w:line="360" w:lineRule="auto"/>
              <w:rPr>
                <w:rFonts w:ascii="宋体" w:hAnsi="宋体" w:cs="宋体"/>
                <w:kern w:val="0"/>
                <w:szCs w:val="21"/>
              </w:rPr>
            </w:pPr>
            <w:r>
              <w:rPr>
                <w:rFonts w:hint="eastAsia" w:ascii="宋体" w:hAnsi="宋体" w:cs="宋体"/>
                <w:kern w:val="0"/>
                <w:szCs w:val="21"/>
              </w:rPr>
              <w:t>2.安全生产保障措施；</w:t>
            </w:r>
          </w:p>
          <w:p>
            <w:pPr>
              <w:adjustRightInd w:val="0"/>
              <w:spacing w:line="360" w:lineRule="auto"/>
              <w:rPr>
                <w:rFonts w:ascii="宋体" w:hAnsi="宋体" w:cs="宋体"/>
                <w:kern w:val="0"/>
                <w:szCs w:val="21"/>
              </w:rPr>
            </w:pPr>
            <w:r>
              <w:rPr>
                <w:rFonts w:hint="eastAsia" w:ascii="宋体" w:hAnsi="宋体" w:cs="宋体"/>
                <w:kern w:val="0"/>
                <w:szCs w:val="21"/>
              </w:rPr>
              <w:t>3.环境保护保障措施；</w:t>
            </w:r>
          </w:p>
          <w:p>
            <w:pPr>
              <w:adjustRightInd w:val="0"/>
              <w:spacing w:line="360" w:lineRule="auto"/>
              <w:rPr>
                <w:rFonts w:ascii="宋体" w:hAnsi="宋体" w:cs="宋体"/>
                <w:kern w:val="0"/>
                <w:szCs w:val="21"/>
              </w:rPr>
            </w:pPr>
            <w:r>
              <w:rPr>
                <w:rFonts w:hint="eastAsia" w:ascii="宋体" w:hAnsi="宋体" w:cs="宋体"/>
                <w:kern w:val="0"/>
                <w:szCs w:val="21"/>
              </w:rPr>
              <w:t>4.质量和稳定性保障措施。</w:t>
            </w:r>
          </w:p>
          <w:p>
            <w:pPr>
              <w:adjustRightInd w:val="0"/>
              <w:spacing w:line="360" w:lineRule="auto"/>
              <w:rPr>
                <w:rFonts w:ascii="宋体" w:hAnsi="宋体" w:cs="宋体"/>
                <w:kern w:val="0"/>
                <w:szCs w:val="21"/>
              </w:rPr>
            </w:pPr>
          </w:p>
          <w:p>
            <w:pPr>
              <w:adjustRightInd w:val="0"/>
              <w:spacing w:line="360" w:lineRule="auto"/>
              <w:rPr>
                <w:rFonts w:ascii="宋体" w:hAnsi="宋体" w:cs="宋体"/>
                <w:kern w:val="0"/>
                <w:szCs w:val="21"/>
              </w:rPr>
            </w:pPr>
            <w:r>
              <w:rPr>
                <w:rFonts w:hint="eastAsia" w:ascii="宋体" w:hAnsi="宋体" w:cs="宋体"/>
                <w:b/>
                <w:bCs/>
                <w:kern w:val="0"/>
                <w:szCs w:val="21"/>
              </w:rPr>
              <w:t>评审依据：</w:t>
            </w:r>
          </w:p>
          <w:p>
            <w:pPr>
              <w:adjustRightInd w:val="0"/>
              <w:spacing w:line="360" w:lineRule="auto"/>
              <w:rPr>
                <w:rFonts w:ascii="宋体" w:hAnsi="宋体" w:cs="宋体"/>
                <w:kern w:val="0"/>
                <w:szCs w:val="21"/>
              </w:rPr>
            </w:pPr>
            <w:r>
              <w:rPr>
                <w:rFonts w:hint="eastAsia" w:ascii="宋体" w:hAnsi="宋体" w:cs="宋体"/>
                <w:kern w:val="0"/>
                <w:szCs w:val="21"/>
              </w:rPr>
              <w:t>上述1-4项累计得分，满足任意一项得1.25分，满足全部四项得5分，未满足不得分；在此基础上，专家根据各投标人的具体响应内容进一步评审：</w:t>
            </w:r>
          </w:p>
          <w:p>
            <w:pPr>
              <w:adjustRightInd w:val="0"/>
              <w:spacing w:line="360" w:lineRule="auto"/>
              <w:rPr>
                <w:rFonts w:ascii="宋体" w:hAnsi="宋体" w:cs="宋体"/>
                <w:kern w:val="0"/>
                <w:szCs w:val="21"/>
              </w:rPr>
            </w:pPr>
            <w:r>
              <w:rPr>
                <w:rFonts w:hint="eastAsia" w:ascii="宋体" w:hAnsi="宋体" w:cs="宋体"/>
                <w:kern w:val="0"/>
                <w:szCs w:val="21"/>
              </w:rPr>
              <w:t>1）内容完整全面，质量保障措施及方案完全符合本项目特点、针对性强的，得2分；</w:t>
            </w:r>
          </w:p>
          <w:p>
            <w:pPr>
              <w:adjustRightInd w:val="0"/>
              <w:spacing w:line="360" w:lineRule="auto"/>
              <w:rPr>
                <w:rFonts w:ascii="宋体" w:hAnsi="宋体" w:cs="宋体"/>
                <w:kern w:val="0"/>
                <w:szCs w:val="21"/>
              </w:rPr>
            </w:pPr>
            <w:r>
              <w:rPr>
                <w:rFonts w:hint="eastAsia" w:ascii="宋体" w:hAnsi="宋体" w:cs="宋体"/>
                <w:kern w:val="0"/>
                <w:szCs w:val="21"/>
              </w:rPr>
              <w:t>2）内容较完整全面、质量保障措施及方案基本符合本项目特点、针对性较强的，得1.5分；</w:t>
            </w:r>
          </w:p>
          <w:p>
            <w:pPr>
              <w:adjustRightInd w:val="0"/>
              <w:spacing w:line="360" w:lineRule="auto"/>
              <w:rPr>
                <w:rFonts w:ascii="宋体" w:hAnsi="宋体" w:cs="宋体"/>
                <w:kern w:val="0"/>
                <w:szCs w:val="21"/>
              </w:rPr>
            </w:pPr>
            <w:r>
              <w:rPr>
                <w:rFonts w:hint="eastAsia" w:ascii="宋体" w:hAnsi="宋体" w:cs="宋体"/>
                <w:kern w:val="0"/>
                <w:szCs w:val="21"/>
              </w:rPr>
              <w:t>3）内容完整度一般，质量保障措施及方案基本符合本项目特点、针对性一般的，1分；</w:t>
            </w:r>
          </w:p>
          <w:p>
            <w:pPr>
              <w:adjustRightInd w:val="0"/>
              <w:spacing w:line="360" w:lineRule="auto"/>
              <w:rPr>
                <w:rFonts w:ascii="宋体" w:hAnsi="宋体" w:cs="宋体"/>
                <w:b/>
                <w:bCs/>
                <w:kern w:val="0"/>
                <w:szCs w:val="21"/>
              </w:rPr>
            </w:pPr>
            <w:r>
              <w:rPr>
                <w:rFonts w:hint="eastAsia" w:ascii="宋体" w:hAnsi="宋体" w:cs="宋体"/>
                <w:kern w:val="0"/>
                <w:szCs w:val="21"/>
              </w:rPr>
              <w:t>4）内容完整度差，质量保障措施及方案不符合本项目特点、没有针对性的，不得分。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7" w:type="dxa"/>
            <w:vMerge w:val="continue"/>
            <w:tcBorders>
              <w:left w:val="double" w:color="auto" w:sz="4" w:space="0"/>
            </w:tcBorders>
            <w:vAlign w:val="center"/>
          </w:tcPr>
          <w:p>
            <w:pPr>
              <w:adjustRightInd w:val="0"/>
              <w:spacing w:line="360" w:lineRule="auto"/>
              <w:jc w:val="center"/>
              <w:rPr>
                <w:rFonts w:ascii="宋体" w:hAnsi="宋体" w:cs="宋体"/>
                <w:b/>
                <w:bCs/>
                <w:snapToGrid w:val="0"/>
                <w:kern w:val="0"/>
                <w:szCs w:val="21"/>
              </w:rPr>
            </w:pPr>
          </w:p>
        </w:tc>
        <w:tc>
          <w:tcPr>
            <w:tcW w:w="1095" w:type="dxa"/>
            <w:vAlign w:val="center"/>
          </w:tcPr>
          <w:p>
            <w:pPr>
              <w:adjustRightInd w:val="0"/>
              <w:spacing w:line="360" w:lineRule="auto"/>
              <w:jc w:val="center"/>
              <w:rPr>
                <w:rFonts w:ascii="宋体" w:hAnsi="宋体" w:cs="宋体"/>
                <w:kern w:val="0"/>
                <w:szCs w:val="21"/>
              </w:rPr>
            </w:pPr>
            <w:r>
              <w:rPr>
                <w:rFonts w:hint="eastAsia" w:ascii="宋体" w:hAnsi="宋体" w:cs="宋体"/>
                <w:kern w:val="0"/>
                <w:szCs w:val="21"/>
              </w:rPr>
              <w:t>项目完成（服务期满）后的服务承诺</w:t>
            </w:r>
          </w:p>
        </w:tc>
        <w:tc>
          <w:tcPr>
            <w:tcW w:w="720" w:type="dxa"/>
            <w:vAlign w:val="center"/>
          </w:tcPr>
          <w:p>
            <w:pPr>
              <w:spacing w:line="360" w:lineRule="auto"/>
              <w:jc w:val="center"/>
              <w:rPr>
                <w:rFonts w:ascii="宋体" w:hAnsi="宋体" w:cs="宋体"/>
                <w:kern w:val="0"/>
                <w:szCs w:val="21"/>
              </w:rPr>
            </w:pPr>
            <w:r>
              <w:rPr>
                <w:rFonts w:hint="eastAsia" w:ascii="宋体" w:hAnsi="宋体" w:cs="宋体"/>
                <w:kern w:val="0"/>
                <w:szCs w:val="21"/>
              </w:rPr>
              <w:t>5</w:t>
            </w:r>
          </w:p>
        </w:tc>
        <w:tc>
          <w:tcPr>
            <w:tcW w:w="6796" w:type="dxa"/>
            <w:tcBorders>
              <w:right w:val="double" w:color="auto" w:sz="4" w:space="0"/>
            </w:tcBorders>
            <w:vAlign w:val="center"/>
          </w:tcPr>
          <w:p>
            <w:pPr>
              <w:adjustRightInd w:val="0"/>
              <w:spacing w:line="360" w:lineRule="auto"/>
              <w:rPr>
                <w:rFonts w:ascii="宋体" w:hAnsi="宋体" w:cs="宋体"/>
                <w:kern w:val="0"/>
                <w:szCs w:val="21"/>
              </w:rPr>
            </w:pPr>
            <w:r>
              <w:rPr>
                <w:rFonts w:hint="eastAsia" w:ascii="宋体" w:hAnsi="宋体" w:cs="宋体"/>
                <w:b/>
                <w:bCs/>
                <w:kern w:val="0"/>
                <w:szCs w:val="21"/>
              </w:rPr>
              <w:t>评审内容：</w:t>
            </w:r>
          </w:p>
          <w:p>
            <w:pPr>
              <w:adjustRightInd w:val="0"/>
              <w:spacing w:line="360" w:lineRule="auto"/>
              <w:rPr>
                <w:rFonts w:ascii="宋体" w:hAnsi="宋体" w:cs="宋体"/>
                <w:kern w:val="0"/>
                <w:szCs w:val="21"/>
              </w:rPr>
            </w:pPr>
            <w:r>
              <w:rPr>
                <w:rFonts w:hint="eastAsia" w:ascii="宋体" w:hAnsi="宋体" w:cs="宋体"/>
                <w:kern w:val="0"/>
                <w:szCs w:val="21"/>
              </w:rPr>
              <w:t>投标人承诺以下全部三项的，得5分，否则不得分。</w:t>
            </w:r>
          </w:p>
          <w:p>
            <w:pPr>
              <w:adjustRightInd w:val="0"/>
              <w:spacing w:line="360" w:lineRule="auto"/>
              <w:rPr>
                <w:rFonts w:ascii="宋体" w:hAnsi="宋体" w:cs="宋体"/>
                <w:kern w:val="0"/>
                <w:szCs w:val="21"/>
              </w:rPr>
            </w:pPr>
            <w:r>
              <w:rPr>
                <w:rFonts w:hint="eastAsia" w:ascii="宋体" w:hAnsi="宋体" w:cs="宋体"/>
                <w:kern w:val="0"/>
                <w:szCs w:val="21"/>
              </w:rPr>
              <w:t>1.服务期满后主动离岗；</w:t>
            </w:r>
          </w:p>
          <w:p>
            <w:pPr>
              <w:adjustRightInd w:val="0"/>
              <w:spacing w:line="360" w:lineRule="auto"/>
              <w:rPr>
                <w:rFonts w:ascii="宋体" w:hAnsi="宋体" w:cs="宋体"/>
                <w:kern w:val="0"/>
                <w:szCs w:val="21"/>
              </w:rPr>
            </w:pPr>
            <w:r>
              <w:rPr>
                <w:rFonts w:hint="eastAsia" w:ascii="宋体" w:hAnsi="宋体" w:cs="宋体"/>
                <w:kern w:val="0"/>
                <w:szCs w:val="21"/>
              </w:rPr>
              <w:t>2.与后续服务公司进行交接；</w:t>
            </w:r>
          </w:p>
          <w:p>
            <w:pPr>
              <w:adjustRightInd w:val="0"/>
              <w:spacing w:line="360" w:lineRule="auto"/>
              <w:rPr>
                <w:rFonts w:ascii="宋体" w:hAnsi="宋体" w:cs="宋体"/>
                <w:kern w:val="0"/>
                <w:szCs w:val="21"/>
              </w:rPr>
            </w:pPr>
            <w:r>
              <w:rPr>
                <w:rFonts w:hint="eastAsia" w:ascii="宋体" w:hAnsi="宋体" w:cs="宋体"/>
                <w:kern w:val="0"/>
                <w:szCs w:val="21"/>
              </w:rPr>
              <w:t>3.服务期满，后续服务公司未到位前仍按原合同服务承诺提供服务。</w:t>
            </w:r>
          </w:p>
          <w:p>
            <w:pPr>
              <w:adjustRightInd w:val="0"/>
              <w:spacing w:line="360" w:lineRule="auto"/>
              <w:rPr>
                <w:rFonts w:ascii="宋体" w:hAnsi="宋体" w:cs="宋体"/>
                <w:kern w:val="0"/>
                <w:szCs w:val="21"/>
              </w:rPr>
            </w:pPr>
          </w:p>
          <w:p>
            <w:pPr>
              <w:adjustRightInd w:val="0"/>
              <w:spacing w:line="360" w:lineRule="auto"/>
              <w:rPr>
                <w:rFonts w:ascii="宋体" w:hAnsi="宋体" w:cs="宋体"/>
                <w:kern w:val="0"/>
                <w:szCs w:val="21"/>
              </w:rPr>
            </w:pPr>
            <w:r>
              <w:rPr>
                <w:rFonts w:hint="eastAsia" w:ascii="宋体" w:hAnsi="宋体" w:cs="宋体"/>
                <w:b/>
                <w:bCs/>
                <w:kern w:val="0"/>
                <w:szCs w:val="21"/>
              </w:rPr>
              <w:t>评审依据：</w:t>
            </w:r>
          </w:p>
          <w:p>
            <w:pPr>
              <w:adjustRightInd w:val="0"/>
              <w:spacing w:line="360" w:lineRule="auto"/>
              <w:rPr>
                <w:rFonts w:ascii="宋体" w:hAnsi="宋体" w:cs="宋体"/>
                <w:kern w:val="0"/>
                <w:szCs w:val="21"/>
              </w:rPr>
            </w:pPr>
            <w:r>
              <w:rPr>
                <w:rFonts w:hint="eastAsia" w:ascii="宋体" w:hAnsi="宋体" w:cs="宋体"/>
                <w:kern w:val="0"/>
                <w:szCs w:val="21"/>
              </w:rPr>
              <w:t>提供《项目完成（服务期满）后的服务承诺函》（格式自拟）并加盖投标人公章，</w:t>
            </w:r>
            <w:r>
              <w:rPr>
                <w:rFonts w:hint="eastAsia" w:ascii="宋体" w:hAnsi="宋体" w:cs="宋体"/>
                <w:szCs w:val="21"/>
              </w:rPr>
              <w:t>未提供承诺或承诺内容不满足要求不得分</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Merge w:val="continue"/>
            <w:tcBorders>
              <w:left w:val="double" w:color="auto" w:sz="4" w:space="0"/>
            </w:tcBorders>
            <w:vAlign w:val="center"/>
          </w:tcPr>
          <w:p>
            <w:pPr>
              <w:adjustRightInd w:val="0"/>
              <w:spacing w:line="360" w:lineRule="auto"/>
              <w:jc w:val="center"/>
              <w:rPr>
                <w:rFonts w:ascii="宋体" w:hAnsi="宋体" w:cs="宋体"/>
                <w:b/>
                <w:bCs/>
                <w:snapToGrid w:val="0"/>
                <w:kern w:val="0"/>
                <w:szCs w:val="21"/>
              </w:rPr>
            </w:pPr>
          </w:p>
        </w:tc>
        <w:tc>
          <w:tcPr>
            <w:tcW w:w="1095" w:type="dxa"/>
            <w:vAlign w:val="center"/>
          </w:tcPr>
          <w:p>
            <w:pPr>
              <w:adjustRightInd w:val="0"/>
              <w:spacing w:line="360" w:lineRule="auto"/>
              <w:jc w:val="center"/>
              <w:rPr>
                <w:rFonts w:ascii="宋体" w:hAnsi="宋体" w:cs="宋体"/>
                <w:kern w:val="0"/>
                <w:szCs w:val="21"/>
              </w:rPr>
            </w:pPr>
            <w:r>
              <w:rPr>
                <w:rFonts w:hint="eastAsia" w:ascii="宋体" w:hAnsi="宋体" w:cs="宋体"/>
                <w:kern w:val="0"/>
                <w:szCs w:val="21"/>
              </w:rPr>
              <w:t>违约承诺</w:t>
            </w:r>
          </w:p>
        </w:tc>
        <w:tc>
          <w:tcPr>
            <w:tcW w:w="720" w:type="dxa"/>
            <w:vAlign w:val="center"/>
          </w:tcPr>
          <w:p>
            <w:pPr>
              <w:spacing w:line="360" w:lineRule="auto"/>
              <w:jc w:val="center"/>
              <w:rPr>
                <w:rFonts w:ascii="宋体" w:hAnsi="宋体" w:cs="宋体"/>
                <w:kern w:val="0"/>
                <w:szCs w:val="21"/>
              </w:rPr>
            </w:pPr>
            <w:r>
              <w:rPr>
                <w:rFonts w:hint="eastAsia" w:ascii="宋体" w:hAnsi="宋体" w:cs="宋体"/>
                <w:kern w:val="0"/>
                <w:szCs w:val="21"/>
              </w:rPr>
              <w:t>5</w:t>
            </w:r>
          </w:p>
        </w:tc>
        <w:tc>
          <w:tcPr>
            <w:tcW w:w="6796" w:type="dxa"/>
            <w:tcBorders>
              <w:right w:val="double" w:color="auto" w:sz="4" w:space="0"/>
            </w:tcBorders>
            <w:vAlign w:val="center"/>
          </w:tcPr>
          <w:p>
            <w:pPr>
              <w:adjustRightInd w:val="0"/>
              <w:spacing w:line="360" w:lineRule="auto"/>
              <w:rPr>
                <w:rFonts w:ascii="宋体" w:hAnsi="宋体" w:cs="宋体"/>
                <w:b/>
                <w:bCs/>
                <w:kern w:val="0"/>
                <w:szCs w:val="21"/>
              </w:rPr>
            </w:pPr>
            <w:r>
              <w:rPr>
                <w:rFonts w:hint="eastAsia" w:ascii="宋体" w:hAnsi="宋体" w:cs="宋体"/>
                <w:b/>
                <w:bCs/>
                <w:kern w:val="0"/>
                <w:szCs w:val="21"/>
              </w:rPr>
              <w:t>评审内容：</w:t>
            </w:r>
          </w:p>
          <w:p>
            <w:pPr>
              <w:adjustRightInd w:val="0"/>
              <w:spacing w:line="360" w:lineRule="auto"/>
              <w:rPr>
                <w:rFonts w:ascii="宋体" w:hAnsi="宋体" w:cs="宋体"/>
                <w:kern w:val="0"/>
                <w:szCs w:val="21"/>
              </w:rPr>
            </w:pPr>
            <w:r>
              <w:rPr>
                <w:rFonts w:hint="eastAsia" w:ascii="宋体" w:hAnsi="宋体" w:cs="宋体"/>
                <w:kern w:val="0"/>
                <w:szCs w:val="21"/>
              </w:rPr>
              <w:t>投标人承诺以下全部三项的，得5分，否则不得分。</w:t>
            </w:r>
          </w:p>
          <w:p>
            <w:pPr>
              <w:adjustRightInd w:val="0"/>
              <w:spacing w:line="360" w:lineRule="auto"/>
              <w:rPr>
                <w:rFonts w:ascii="宋体" w:hAnsi="宋体" w:cs="宋体"/>
                <w:kern w:val="0"/>
                <w:szCs w:val="21"/>
              </w:rPr>
            </w:pPr>
            <w:r>
              <w:rPr>
                <w:rFonts w:hint="eastAsia" w:ascii="宋体" w:hAnsi="宋体" w:cs="宋体"/>
                <w:kern w:val="0"/>
                <w:szCs w:val="21"/>
              </w:rPr>
              <w:t>1.因中标人原因，未按照征集文件要求配置人员承担违约责任；</w:t>
            </w:r>
          </w:p>
          <w:p>
            <w:pPr>
              <w:adjustRightInd w:val="0"/>
              <w:spacing w:line="360" w:lineRule="auto"/>
              <w:rPr>
                <w:rFonts w:ascii="宋体" w:hAnsi="宋体" w:cs="宋体"/>
                <w:kern w:val="0"/>
                <w:szCs w:val="21"/>
              </w:rPr>
            </w:pPr>
            <w:r>
              <w:rPr>
                <w:rFonts w:hint="eastAsia" w:ascii="宋体" w:hAnsi="宋体" w:cs="宋体"/>
                <w:kern w:val="0"/>
                <w:szCs w:val="21"/>
              </w:rPr>
              <w:t>2.因中标人原因，服务质量未达到征集文件要求承担违约责任；</w:t>
            </w:r>
          </w:p>
          <w:p>
            <w:pPr>
              <w:adjustRightInd w:val="0"/>
              <w:spacing w:line="360" w:lineRule="auto"/>
              <w:rPr>
                <w:rFonts w:ascii="宋体" w:hAnsi="宋体" w:cs="宋体"/>
                <w:b/>
                <w:bCs/>
                <w:kern w:val="0"/>
                <w:szCs w:val="21"/>
              </w:rPr>
            </w:pPr>
            <w:r>
              <w:rPr>
                <w:rFonts w:hint="eastAsia" w:ascii="宋体" w:hAnsi="宋体" w:cs="宋体"/>
                <w:kern w:val="0"/>
                <w:szCs w:val="21"/>
              </w:rPr>
              <w:t>3.因中标人原因，对未能达到的管理要求承担管理责任。</w:t>
            </w:r>
          </w:p>
          <w:p>
            <w:pPr>
              <w:adjustRightInd w:val="0"/>
              <w:spacing w:line="360" w:lineRule="auto"/>
              <w:rPr>
                <w:rFonts w:ascii="宋体" w:hAnsi="宋体" w:cs="宋体"/>
                <w:b/>
                <w:bCs/>
                <w:kern w:val="0"/>
                <w:szCs w:val="21"/>
              </w:rPr>
            </w:pPr>
          </w:p>
          <w:p>
            <w:pPr>
              <w:adjustRightInd w:val="0"/>
              <w:spacing w:line="360" w:lineRule="auto"/>
              <w:rPr>
                <w:rFonts w:ascii="宋体" w:hAnsi="宋体" w:cs="宋体"/>
                <w:b/>
                <w:bCs/>
                <w:kern w:val="0"/>
                <w:szCs w:val="21"/>
              </w:rPr>
            </w:pPr>
            <w:r>
              <w:rPr>
                <w:rFonts w:hint="eastAsia" w:ascii="宋体" w:hAnsi="宋体" w:cs="宋体"/>
                <w:b/>
                <w:bCs/>
                <w:kern w:val="0"/>
                <w:szCs w:val="21"/>
              </w:rPr>
              <w:t>评审依据：</w:t>
            </w:r>
          </w:p>
          <w:p>
            <w:pPr>
              <w:adjustRightInd w:val="0"/>
              <w:spacing w:line="360" w:lineRule="auto"/>
              <w:rPr>
                <w:rFonts w:ascii="宋体" w:hAnsi="宋体" w:cs="宋体"/>
                <w:kern w:val="0"/>
                <w:szCs w:val="21"/>
              </w:rPr>
            </w:pPr>
            <w:r>
              <w:rPr>
                <w:rFonts w:hint="eastAsia" w:ascii="宋体" w:hAnsi="宋体" w:cs="宋体"/>
                <w:kern w:val="0"/>
                <w:szCs w:val="21"/>
              </w:rPr>
              <w:t>提供《违约承诺函》（格式自拟）并加盖投标人公章，</w:t>
            </w:r>
            <w:r>
              <w:rPr>
                <w:rFonts w:hint="eastAsia" w:ascii="宋体" w:hAnsi="宋体" w:cs="宋体"/>
                <w:szCs w:val="21"/>
              </w:rPr>
              <w:t>未提供承诺或承诺内容不满足要求不得分</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Merge w:val="continue"/>
            <w:tcBorders>
              <w:left w:val="double" w:color="auto" w:sz="4" w:space="0"/>
            </w:tcBorders>
            <w:vAlign w:val="center"/>
          </w:tcPr>
          <w:p>
            <w:pPr>
              <w:adjustRightInd w:val="0"/>
              <w:spacing w:line="360" w:lineRule="auto"/>
              <w:jc w:val="center"/>
              <w:rPr>
                <w:rFonts w:ascii="宋体" w:hAnsi="宋体" w:cs="宋体"/>
                <w:b/>
                <w:bCs/>
                <w:snapToGrid w:val="0"/>
                <w:kern w:val="0"/>
                <w:szCs w:val="21"/>
              </w:rPr>
            </w:pPr>
          </w:p>
        </w:tc>
        <w:tc>
          <w:tcPr>
            <w:tcW w:w="1095" w:type="dxa"/>
            <w:vAlign w:val="center"/>
          </w:tcPr>
          <w:p>
            <w:pPr>
              <w:adjustRightInd w:val="0"/>
              <w:spacing w:line="360" w:lineRule="auto"/>
              <w:jc w:val="center"/>
              <w:rPr>
                <w:rFonts w:ascii="宋体" w:hAnsi="宋体" w:cs="宋体"/>
                <w:kern w:val="0"/>
                <w:szCs w:val="21"/>
              </w:rPr>
            </w:pPr>
            <w:r>
              <w:rPr>
                <w:rFonts w:hint="eastAsia" w:ascii="宋体" w:hAnsi="宋体" w:cs="宋体"/>
                <w:kern w:val="0"/>
                <w:szCs w:val="21"/>
              </w:rPr>
              <w:t>项目负责人情况（仅限一人）</w:t>
            </w:r>
          </w:p>
        </w:tc>
        <w:tc>
          <w:tcPr>
            <w:tcW w:w="720" w:type="dxa"/>
            <w:vAlign w:val="center"/>
          </w:tcPr>
          <w:p>
            <w:pPr>
              <w:spacing w:line="360" w:lineRule="auto"/>
              <w:jc w:val="center"/>
              <w:rPr>
                <w:rFonts w:ascii="宋体" w:hAnsi="宋体" w:cs="宋体"/>
                <w:kern w:val="0"/>
                <w:szCs w:val="21"/>
              </w:rPr>
            </w:pPr>
            <w:r>
              <w:rPr>
                <w:rFonts w:hint="eastAsia" w:ascii="宋体" w:hAnsi="宋体" w:cs="宋体"/>
                <w:kern w:val="0"/>
                <w:szCs w:val="21"/>
              </w:rPr>
              <w:t>6</w:t>
            </w:r>
          </w:p>
        </w:tc>
        <w:tc>
          <w:tcPr>
            <w:tcW w:w="6796" w:type="dxa"/>
            <w:tcBorders>
              <w:right w:val="double" w:color="auto" w:sz="4" w:space="0"/>
            </w:tcBorders>
            <w:vAlign w:val="center"/>
          </w:tcPr>
          <w:p>
            <w:pPr>
              <w:adjustRightInd w:val="0"/>
              <w:spacing w:line="360" w:lineRule="auto"/>
              <w:rPr>
                <w:rFonts w:ascii="宋体" w:hAnsi="宋体" w:cs="宋体"/>
                <w:b/>
                <w:bCs/>
                <w:kern w:val="0"/>
                <w:szCs w:val="21"/>
              </w:rPr>
            </w:pPr>
            <w:r>
              <w:rPr>
                <w:rFonts w:hint="eastAsia" w:ascii="宋体" w:hAnsi="宋体" w:cs="宋体"/>
                <w:b/>
                <w:bCs/>
                <w:kern w:val="0"/>
                <w:szCs w:val="21"/>
              </w:rPr>
              <w:t>评审内容：</w:t>
            </w:r>
          </w:p>
          <w:p>
            <w:pPr>
              <w:adjustRightInd w:val="0"/>
              <w:spacing w:line="360" w:lineRule="auto"/>
              <w:rPr>
                <w:rFonts w:ascii="宋体" w:hAnsi="宋体"/>
                <w:szCs w:val="21"/>
              </w:rPr>
            </w:pPr>
            <w:r>
              <w:rPr>
                <w:rFonts w:hint="eastAsia" w:ascii="宋体" w:hAnsi="宋体"/>
                <w:szCs w:val="21"/>
              </w:rPr>
              <w:t>拟安排的项目负责人</w:t>
            </w:r>
            <w:r>
              <w:rPr>
                <w:rFonts w:hint="eastAsia" w:ascii="宋体" w:hAnsi="宋体" w:cs="宋体"/>
                <w:color w:val="000000"/>
                <w:kern w:val="0"/>
                <w:szCs w:val="21"/>
              </w:rPr>
              <w:t>(仅限1人）</w:t>
            </w:r>
            <w:r>
              <w:rPr>
                <w:rFonts w:hint="eastAsia" w:ascii="宋体" w:hAnsi="宋体"/>
                <w:szCs w:val="21"/>
              </w:rPr>
              <w:t>需为投标人</w:t>
            </w:r>
            <w:r>
              <w:rPr>
                <w:rFonts w:hint="eastAsia" w:ascii="宋体" w:hAnsi="宋体"/>
                <w:color w:val="000000" w:themeColor="text1"/>
                <w:szCs w:val="21"/>
                <w14:textFill>
                  <w14:solidFill>
                    <w14:schemeClr w14:val="tx1"/>
                  </w14:solidFill>
                </w14:textFill>
              </w:rPr>
              <w:t>正式聘任</w:t>
            </w:r>
            <w:r>
              <w:rPr>
                <w:rFonts w:hint="eastAsia" w:ascii="宋体" w:hAnsi="宋体"/>
                <w:szCs w:val="21"/>
              </w:rPr>
              <w:t>员工且</w:t>
            </w:r>
            <w:r>
              <w:rPr>
                <w:rFonts w:hint="eastAsia" w:ascii="宋体" w:hAnsi="宋体" w:cs="宋体"/>
                <w:kern w:val="0"/>
                <w:szCs w:val="21"/>
              </w:rPr>
              <w:t>具有本科或以上学历</w:t>
            </w:r>
            <w:r>
              <w:rPr>
                <w:rFonts w:hint="eastAsia" w:ascii="宋体" w:hAnsi="宋体"/>
                <w:szCs w:val="21"/>
              </w:rPr>
              <w:t>，否则本项不得分。在此基础上，按以下标准评分：</w:t>
            </w:r>
          </w:p>
          <w:p>
            <w:pPr>
              <w:adjustRightInd w:val="0"/>
              <w:spacing w:line="360" w:lineRule="auto"/>
              <w:rPr>
                <w:rFonts w:ascii="宋体" w:hAnsi="宋体" w:cs="宋体"/>
                <w:kern w:val="0"/>
                <w:szCs w:val="21"/>
              </w:rPr>
            </w:pPr>
            <w:r>
              <w:rPr>
                <w:rFonts w:hint="eastAsia" w:ascii="宋体" w:hAnsi="宋体" w:cs="宋体"/>
                <w:kern w:val="0"/>
                <w:szCs w:val="21"/>
              </w:rPr>
              <w:t>1.项目负责人具有人社部门颁发的一级建造师（通信与广电工程专业）证书；</w:t>
            </w:r>
          </w:p>
          <w:p>
            <w:pPr>
              <w:adjustRightInd w:val="0"/>
              <w:spacing w:line="360" w:lineRule="auto"/>
              <w:rPr>
                <w:rFonts w:ascii="宋体" w:hAnsi="宋体" w:cs="宋体"/>
                <w:kern w:val="0"/>
                <w:szCs w:val="21"/>
              </w:rPr>
            </w:pPr>
            <w:r>
              <w:rPr>
                <w:rFonts w:hint="eastAsia" w:ascii="宋体" w:hAnsi="宋体" w:cs="宋体"/>
                <w:kern w:val="0"/>
                <w:szCs w:val="21"/>
              </w:rPr>
              <w:t>2.项目负责人具有人社部门颁发的计算机技术与软件专业技术资格（专业：信息系统项目管理师）证书；</w:t>
            </w:r>
          </w:p>
          <w:p>
            <w:pPr>
              <w:adjustRightInd w:val="0"/>
              <w:spacing w:line="360" w:lineRule="auto"/>
              <w:rPr>
                <w:rFonts w:ascii="宋体" w:hAnsi="宋体" w:cs="宋体"/>
                <w:kern w:val="0"/>
                <w:szCs w:val="21"/>
              </w:rPr>
            </w:pPr>
            <w:r>
              <w:rPr>
                <w:rFonts w:hint="eastAsia" w:ascii="宋体" w:hAnsi="宋体" w:cs="宋体"/>
                <w:kern w:val="0"/>
                <w:szCs w:val="21"/>
              </w:rPr>
              <w:t>3.项目负责人具有中国网络安全审查技术与认证中心颁发的信息安全保障人员CISAW应急服务专业级（或以上）证书。</w:t>
            </w:r>
          </w:p>
          <w:p>
            <w:pPr>
              <w:adjustRightInd w:val="0"/>
              <w:spacing w:line="360" w:lineRule="auto"/>
              <w:rPr>
                <w:rFonts w:ascii="宋体" w:hAnsi="宋体" w:cs="宋体"/>
                <w:kern w:val="0"/>
                <w:szCs w:val="21"/>
              </w:rPr>
            </w:pPr>
            <w:r>
              <w:rPr>
                <w:rFonts w:hint="eastAsia" w:ascii="宋体" w:hAnsi="宋体" w:cs="宋体"/>
                <w:b/>
                <w:bCs/>
                <w:kern w:val="0"/>
                <w:szCs w:val="21"/>
              </w:rPr>
              <w:t>注：同时满足以上3项得6分，满足其中任意2项得3分，满足其中任意1项得1分。</w:t>
            </w:r>
          </w:p>
          <w:p>
            <w:pPr>
              <w:adjustRightInd w:val="0"/>
              <w:spacing w:line="360" w:lineRule="auto"/>
              <w:rPr>
                <w:rFonts w:ascii="宋体" w:hAnsi="宋体" w:cs="宋体"/>
                <w:kern w:val="0"/>
                <w:szCs w:val="21"/>
              </w:rPr>
            </w:pPr>
          </w:p>
          <w:p>
            <w:pPr>
              <w:adjustRightInd w:val="0"/>
              <w:spacing w:line="360" w:lineRule="auto"/>
              <w:rPr>
                <w:rFonts w:ascii="宋体" w:hAnsi="宋体" w:cs="宋体"/>
                <w:kern w:val="0"/>
                <w:szCs w:val="21"/>
              </w:rPr>
            </w:pPr>
            <w:r>
              <w:rPr>
                <w:rFonts w:hint="eastAsia" w:ascii="宋体" w:hAnsi="宋体" w:cs="宋体"/>
                <w:b/>
                <w:bCs/>
                <w:kern w:val="0"/>
                <w:szCs w:val="21"/>
              </w:rPr>
              <w:t>评审依据：</w:t>
            </w:r>
          </w:p>
          <w:p>
            <w:pPr>
              <w:adjustRightInd w:val="0"/>
              <w:spacing w:line="360" w:lineRule="auto"/>
              <w:rPr>
                <w:rFonts w:ascii="宋体" w:hAnsi="宋体" w:cs="宋体"/>
                <w:kern w:val="0"/>
                <w:szCs w:val="21"/>
              </w:rPr>
            </w:pPr>
            <w:r>
              <w:rPr>
                <w:rFonts w:hint="eastAsia" w:ascii="宋体" w:hAnsi="宋体" w:cs="宋体"/>
                <w:kern w:val="0"/>
                <w:szCs w:val="21"/>
              </w:rPr>
              <w:t>1.提供项目负责人通过投标单位缴纳的载有社保部门公章的近三个月内任意一个月的个人社保证明，如供应商为新成立单位且成立时间不足一个月的，可提供加盖公章的情况说明。如为退休返聘人员则提供劳动合同或返聘协议；</w:t>
            </w:r>
          </w:p>
          <w:p>
            <w:pPr>
              <w:adjustRightInd w:val="0"/>
              <w:spacing w:line="360" w:lineRule="auto"/>
              <w:rPr>
                <w:rFonts w:ascii="宋体" w:hAnsi="宋体" w:cs="宋体"/>
                <w:kern w:val="0"/>
                <w:szCs w:val="21"/>
              </w:rPr>
            </w:pPr>
            <w:r>
              <w:rPr>
                <w:rFonts w:hint="eastAsia" w:ascii="宋体" w:hAnsi="宋体" w:cs="宋体"/>
                <w:kern w:val="0"/>
                <w:szCs w:val="21"/>
              </w:rPr>
              <w:t>2.提供项目负责人毕业证书以及学信网查询记录，对于较早颁发的学历学位证书，学信网无法查询的，还需提供毕业院校或者人社部门或者教育部门出具的证明，否则无效；</w:t>
            </w:r>
          </w:p>
          <w:p>
            <w:pPr>
              <w:adjustRightInd w:val="0"/>
              <w:spacing w:line="360" w:lineRule="auto"/>
              <w:rPr>
                <w:rFonts w:ascii="宋体" w:hAnsi="宋体" w:cs="宋体"/>
                <w:kern w:val="0"/>
                <w:szCs w:val="21"/>
              </w:rPr>
            </w:pPr>
            <w:r>
              <w:rPr>
                <w:rFonts w:hint="eastAsia" w:ascii="宋体" w:hAnsi="宋体" w:cs="宋体"/>
                <w:kern w:val="0"/>
                <w:szCs w:val="21"/>
              </w:rPr>
              <w:t>3.提供项目负责人上述相对应证书作为得分依据；</w:t>
            </w:r>
          </w:p>
          <w:p>
            <w:pPr>
              <w:adjustRightInd w:val="0"/>
              <w:spacing w:line="360" w:lineRule="auto"/>
              <w:rPr>
                <w:rFonts w:ascii="宋体" w:hAnsi="宋体" w:cs="宋体"/>
                <w:kern w:val="0"/>
                <w:szCs w:val="21"/>
              </w:rPr>
            </w:pPr>
            <w:r>
              <w:rPr>
                <w:rFonts w:hint="eastAsia" w:ascii="宋体" w:hAnsi="宋体" w:cs="宋体"/>
                <w:kern w:val="0"/>
                <w:szCs w:val="21"/>
              </w:rPr>
              <w:t>4.以上证明文件均提供复印件或扫描件（或官方网站截图）加盖投标人公章，原件备查。未按要求提供有效证明材料或提供不清晰导致评委无法识别的不计得分。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Merge w:val="continue"/>
            <w:tcBorders>
              <w:left w:val="double" w:color="auto" w:sz="4" w:space="0"/>
            </w:tcBorders>
            <w:vAlign w:val="center"/>
          </w:tcPr>
          <w:p>
            <w:pPr>
              <w:adjustRightInd w:val="0"/>
              <w:spacing w:line="360" w:lineRule="auto"/>
              <w:jc w:val="center"/>
              <w:rPr>
                <w:rFonts w:ascii="宋体" w:hAnsi="宋体" w:cs="宋体"/>
                <w:b/>
                <w:bCs/>
                <w:snapToGrid w:val="0"/>
                <w:kern w:val="0"/>
                <w:szCs w:val="21"/>
              </w:rPr>
            </w:pPr>
          </w:p>
        </w:tc>
        <w:tc>
          <w:tcPr>
            <w:tcW w:w="1095" w:type="dxa"/>
            <w:vAlign w:val="center"/>
          </w:tcPr>
          <w:p>
            <w:pPr>
              <w:adjustRightInd w:val="0"/>
              <w:spacing w:line="360" w:lineRule="auto"/>
              <w:jc w:val="center"/>
              <w:rPr>
                <w:rFonts w:ascii="宋体" w:hAnsi="宋体" w:cs="宋体"/>
                <w:kern w:val="0"/>
                <w:szCs w:val="21"/>
              </w:rPr>
            </w:pPr>
            <w:r>
              <w:rPr>
                <w:rFonts w:hint="eastAsia" w:ascii="宋体" w:hAnsi="宋体" w:cs="宋体"/>
                <w:kern w:val="0"/>
                <w:szCs w:val="21"/>
              </w:rPr>
              <w:t>拟派项目团队（项目负责人除外）</w:t>
            </w:r>
          </w:p>
        </w:tc>
        <w:tc>
          <w:tcPr>
            <w:tcW w:w="720" w:type="dxa"/>
            <w:vAlign w:val="center"/>
          </w:tcPr>
          <w:p>
            <w:pPr>
              <w:spacing w:line="360" w:lineRule="auto"/>
              <w:jc w:val="center"/>
              <w:rPr>
                <w:rFonts w:ascii="宋体" w:hAnsi="宋体" w:cs="宋体"/>
                <w:kern w:val="0"/>
                <w:szCs w:val="21"/>
              </w:rPr>
            </w:pPr>
            <w:r>
              <w:rPr>
                <w:rFonts w:hint="eastAsia" w:ascii="宋体" w:hAnsi="宋体" w:cs="宋体"/>
                <w:kern w:val="0"/>
                <w:szCs w:val="21"/>
              </w:rPr>
              <w:t>12</w:t>
            </w:r>
          </w:p>
        </w:tc>
        <w:tc>
          <w:tcPr>
            <w:tcW w:w="6796" w:type="dxa"/>
            <w:tcBorders>
              <w:right w:val="double" w:color="auto" w:sz="4" w:space="0"/>
            </w:tcBorders>
            <w:vAlign w:val="center"/>
          </w:tcPr>
          <w:p>
            <w:pPr>
              <w:adjustRightInd w:val="0"/>
              <w:spacing w:line="360" w:lineRule="auto"/>
              <w:rPr>
                <w:rFonts w:ascii="宋体" w:hAnsi="宋体" w:cs="宋体"/>
                <w:b/>
                <w:bCs/>
                <w:kern w:val="0"/>
                <w:szCs w:val="21"/>
              </w:rPr>
            </w:pPr>
            <w:r>
              <w:rPr>
                <w:rFonts w:hint="eastAsia" w:ascii="宋体" w:hAnsi="宋体" w:cs="宋体"/>
                <w:b/>
                <w:bCs/>
                <w:kern w:val="0"/>
                <w:szCs w:val="21"/>
              </w:rPr>
              <w:t>评审内容：</w:t>
            </w:r>
          </w:p>
          <w:p>
            <w:pPr>
              <w:adjustRightInd w:val="0"/>
              <w:spacing w:line="360" w:lineRule="auto"/>
              <w:rPr>
                <w:rFonts w:ascii="宋体" w:hAnsi="宋体" w:cs="宋体"/>
                <w:kern w:val="0"/>
                <w:szCs w:val="21"/>
              </w:rPr>
            </w:pPr>
            <w:r>
              <w:rPr>
                <w:rFonts w:hint="eastAsia" w:ascii="宋体" w:hAnsi="宋体" w:cs="宋体"/>
                <w:szCs w:val="21"/>
              </w:rPr>
              <w:t>拟安排的项目团队成员（项目负责人除外）</w:t>
            </w:r>
            <w:r>
              <w:rPr>
                <w:rFonts w:hint="eastAsia" w:ascii="宋体" w:hAnsi="宋体"/>
                <w:szCs w:val="21"/>
              </w:rPr>
              <w:t>需为投标人</w:t>
            </w:r>
            <w:r>
              <w:rPr>
                <w:rFonts w:hint="eastAsia" w:ascii="宋体" w:hAnsi="宋体"/>
                <w:color w:val="000000" w:themeColor="text1"/>
                <w:szCs w:val="21"/>
                <w14:textFill>
                  <w14:solidFill>
                    <w14:schemeClr w14:val="tx1"/>
                  </w14:solidFill>
                </w14:textFill>
              </w:rPr>
              <w:t>正式聘任</w:t>
            </w:r>
            <w:r>
              <w:rPr>
                <w:rFonts w:hint="eastAsia" w:ascii="宋体" w:hAnsi="宋体"/>
                <w:szCs w:val="21"/>
              </w:rPr>
              <w:t>员工且不少于6人（需提供项目团队成员人数承诺函，格式自拟），否则本项不得分。在此基础上，按以下标准评分：</w:t>
            </w:r>
          </w:p>
          <w:p>
            <w:pPr>
              <w:adjustRightInd w:val="0"/>
              <w:spacing w:line="360" w:lineRule="auto"/>
              <w:rPr>
                <w:rFonts w:ascii="宋体" w:hAnsi="宋体" w:cs="宋体"/>
                <w:kern w:val="0"/>
                <w:szCs w:val="21"/>
              </w:rPr>
            </w:pPr>
            <w:r>
              <w:rPr>
                <w:rFonts w:hint="eastAsia" w:ascii="宋体" w:hAnsi="宋体" w:cs="宋体"/>
                <w:kern w:val="0"/>
                <w:szCs w:val="21"/>
              </w:rPr>
              <w:t>1.项目团队成员中至少1名具有人社部门颁发的计算机技术与软件专业技术资格（专业：系统规划与管理师证书）证书和二级或以上建造师执业资格证书的，同时满足以上2项得3分，满足其中任意1项得1分，否则不得分；</w:t>
            </w:r>
          </w:p>
          <w:p>
            <w:pPr>
              <w:adjustRightInd w:val="0"/>
              <w:spacing w:line="360" w:lineRule="auto"/>
              <w:rPr>
                <w:rFonts w:ascii="宋体" w:hAnsi="宋体" w:cs="宋体"/>
                <w:kern w:val="0"/>
                <w:szCs w:val="21"/>
              </w:rPr>
            </w:pPr>
            <w:r>
              <w:rPr>
                <w:rFonts w:hint="eastAsia" w:ascii="宋体" w:hAnsi="宋体" w:cs="宋体"/>
                <w:kern w:val="0"/>
                <w:szCs w:val="21"/>
              </w:rPr>
              <w:t>2.项目团队成员中至少1名具有网络厂商IE级别证书和中国网络安全审查技术与认证中心颁发的信息安全保障人员CISAW 应急服务专业级或以上证书的，同时满足以上2项得6分，满足其中任意1项得1.5分，否则不得分；</w:t>
            </w:r>
          </w:p>
          <w:p>
            <w:pPr>
              <w:adjustRightInd w:val="0"/>
              <w:spacing w:line="360" w:lineRule="auto"/>
              <w:rPr>
                <w:rFonts w:ascii="宋体" w:hAnsi="宋体" w:cs="宋体"/>
                <w:kern w:val="0"/>
                <w:szCs w:val="21"/>
              </w:rPr>
            </w:pPr>
            <w:r>
              <w:rPr>
                <w:rFonts w:hint="eastAsia" w:ascii="宋体" w:hAnsi="宋体" w:cs="宋体"/>
                <w:kern w:val="0"/>
                <w:szCs w:val="21"/>
              </w:rPr>
              <w:t>3.项目团队成员中至少1名具有工业和信息化部教育与考试中心颁发的智能化系统工程师（高级）证书的，得1分，否则不得分；</w:t>
            </w:r>
          </w:p>
          <w:p>
            <w:pPr>
              <w:adjustRightInd w:val="0"/>
              <w:spacing w:line="360" w:lineRule="auto"/>
              <w:rPr>
                <w:rFonts w:ascii="宋体" w:hAnsi="宋体" w:cs="宋体"/>
                <w:kern w:val="0"/>
                <w:szCs w:val="21"/>
              </w:rPr>
            </w:pPr>
            <w:r>
              <w:rPr>
                <w:rFonts w:hint="eastAsia" w:ascii="宋体" w:hAnsi="宋体" w:cs="宋体"/>
                <w:kern w:val="0"/>
                <w:szCs w:val="21"/>
              </w:rPr>
              <w:t>4.项目团队成员中至少1名具有IT服务工程师证书的，得1分，否则不得分；</w:t>
            </w:r>
          </w:p>
          <w:p>
            <w:pPr>
              <w:adjustRightInd w:val="0"/>
              <w:spacing w:line="360" w:lineRule="auto"/>
              <w:rPr>
                <w:rFonts w:ascii="宋体" w:hAnsi="宋体" w:cs="宋体"/>
                <w:kern w:val="0"/>
                <w:szCs w:val="21"/>
              </w:rPr>
            </w:pPr>
            <w:r>
              <w:rPr>
                <w:rFonts w:hint="eastAsia" w:ascii="宋体" w:hAnsi="宋体" w:cs="宋体"/>
                <w:kern w:val="0"/>
                <w:szCs w:val="21"/>
              </w:rPr>
              <w:t>5.项目团队成员中至少1名具有特种作业操作证（电工作业）的，得1分，否则不得分。</w:t>
            </w:r>
          </w:p>
          <w:p>
            <w:pPr>
              <w:adjustRightInd w:val="0"/>
              <w:spacing w:line="360" w:lineRule="auto"/>
              <w:rPr>
                <w:rFonts w:ascii="宋体" w:hAnsi="宋体" w:cs="宋体"/>
                <w:b/>
                <w:bCs/>
                <w:kern w:val="0"/>
                <w:szCs w:val="21"/>
              </w:rPr>
            </w:pPr>
            <w:r>
              <w:rPr>
                <w:rFonts w:hint="eastAsia" w:ascii="宋体" w:hAnsi="宋体" w:cs="宋体"/>
                <w:b/>
                <w:bCs/>
                <w:kern w:val="0"/>
                <w:szCs w:val="21"/>
              </w:rPr>
              <w:t>注：以上累计最高得12分。同一人员具有多个证书的仅按得分最高值计算，不重复得分。</w:t>
            </w:r>
          </w:p>
          <w:p>
            <w:pPr>
              <w:adjustRightInd w:val="0"/>
              <w:spacing w:line="360" w:lineRule="auto"/>
              <w:rPr>
                <w:rFonts w:ascii="宋体" w:hAnsi="宋体" w:cs="宋体"/>
                <w:b/>
                <w:bCs/>
                <w:kern w:val="0"/>
                <w:szCs w:val="21"/>
              </w:rPr>
            </w:pPr>
          </w:p>
          <w:p>
            <w:pPr>
              <w:adjustRightInd w:val="0"/>
              <w:spacing w:line="360" w:lineRule="auto"/>
              <w:rPr>
                <w:rFonts w:ascii="宋体" w:hAnsi="宋体" w:cs="宋体"/>
                <w:b/>
                <w:bCs/>
                <w:kern w:val="0"/>
                <w:szCs w:val="21"/>
              </w:rPr>
            </w:pPr>
            <w:r>
              <w:rPr>
                <w:rFonts w:hint="eastAsia" w:ascii="宋体" w:hAnsi="宋体" w:cs="宋体"/>
                <w:b/>
                <w:bCs/>
                <w:kern w:val="0"/>
                <w:szCs w:val="21"/>
              </w:rPr>
              <w:t>评审依据：</w:t>
            </w:r>
          </w:p>
          <w:p>
            <w:pPr>
              <w:adjustRightInd w:val="0"/>
              <w:spacing w:line="360" w:lineRule="auto"/>
              <w:rPr>
                <w:rFonts w:ascii="宋体" w:hAnsi="宋体" w:cs="宋体"/>
                <w:kern w:val="0"/>
                <w:szCs w:val="21"/>
              </w:rPr>
            </w:pPr>
            <w:r>
              <w:rPr>
                <w:rFonts w:hint="eastAsia" w:ascii="宋体" w:hAnsi="宋体" w:cs="宋体"/>
                <w:kern w:val="0"/>
                <w:szCs w:val="21"/>
              </w:rPr>
              <w:t>1.提供项目团队成员通过投标单位缴纳的载有社保部门公章的近三个月内任意一个月的个人社保证明，如供应商为新成立单位且成立时间不足一个月的，可提供加盖公章的情况说明。如为退休返聘人员则提供劳动合同或返聘协议；</w:t>
            </w:r>
          </w:p>
          <w:p>
            <w:pPr>
              <w:adjustRightInd w:val="0"/>
              <w:spacing w:line="360" w:lineRule="auto"/>
              <w:rPr>
                <w:rFonts w:ascii="宋体" w:hAnsi="宋体" w:cs="宋体"/>
                <w:kern w:val="0"/>
                <w:szCs w:val="21"/>
              </w:rPr>
            </w:pPr>
            <w:r>
              <w:rPr>
                <w:rFonts w:hint="eastAsia" w:ascii="宋体" w:hAnsi="宋体" w:cs="宋体"/>
                <w:kern w:val="0"/>
                <w:szCs w:val="21"/>
              </w:rPr>
              <w:t>2.提供《拟派项目团队人员人数承诺函》（格式自拟）并加盖投标人公章，</w:t>
            </w:r>
            <w:r>
              <w:rPr>
                <w:rFonts w:hint="eastAsia" w:ascii="宋体" w:hAnsi="宋体" w:cs="宋体"/>
                <w:szCs w:val="21"/>
              </w:rPr>
              <w:t>未提供承诺或承诺内容不满足要求不得分；</w:t>
            </w:r>
          </w:p>
          <w:p>
            <w:pPr>
              <w:adjustRightInd w:val="0"/>
              <w:spacing w:line="360" w:lineRule="auto"/>
              <w:rPr>
                <w:rFonts w:ascii="宋体" w:hAnsi="宋体" w:cs="宋体"/>
                <w:kern w:val="0"/>
                <w:szCs w:val="21"/>
              </w:rPr>
            </w:pPr>
            <w:r>
              <w:rPr>
                <w:rFonts w:hint="eastAsia" w:ascii="宋体" w:hAnsi="宋体" w:cs="宋体"/>
                <w:kern w:val="0"/>
                <w:szCs w:val="21"/>
              </w:rPr>
              <w:t>3.提供上述项目团队成员相对应证书作为得分依据；</w:t>
            </w:r>
          </w:p>
          <w:p>
            <w:pPr>
              <w:adjustRightInd w:val="0"/>
              <w:spacing w:line="360" w:lineRule="auto"/>
              <w:rPr>
                <w:rFonts w:ascii="宋体" w:hAnsi="宋体" w:cs="宋体"/>
                <w:kern w:val="0"/>
                <w:szCs w:val="21"/>
              </w:rPr>
            </w:pPr>
            <w:r>
              <w:rPr>
                <w:rFonts w:hint="eastAsia" w:ascii="宋体" w:hAnsi="宋体" w:cs="宋体"/>
                <w:kern w:val="0"/>
                <w:szCs w:val="21"/>
              </w:rPr>
              <w:t>4.以上证明文件均提供复印件或扫描件加盖投标人公章，原件备查。未按要求提供有效证明材料或提供不清晰导致评委无法识别的不计得分。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Merge w:val="continue"/>
            <w:tcBorders>
              <w:left w:val="double" w:color="auto" w:sz="4" w:space="0"/>
            </w:tcBorders>
            <w:vAlign w:val="center"/>
          </w:tcPr>
          <w:p>
            <w:pPr>
              <w:adjustRightInd w:val="0"/>
              <w:spacing w:line="360" w:lineRule="auto"/>
              <w:jc w:val="center"/>
              <w:rPr>
                <w:rFonts w:ascii="宋体" w:hAnsi="宋体" w:cs="宋体"/>
                <w:b/>
                <w:bCs/>
                <w:snapToGrid w:val="0"/>
                <w:kern w:val="0"/>
                <w:szCs w:val="21"/>
              </w:rPr>
            </w:pPr>
          </w:p>
        </w:tc>
        <w:tc>
          <w:tcPr>
            <w:tcW w:w="1095" w:type="dxa"/>
            <w:vAlign w:val="center"/>
          </w:tcPr>
          <w:p>
            <w:pPr>
              <w:adjustRightInd w:val="0"/>
              <w:spacing w:line="360" w:lineRule="auto"/>
              <w:jc w:val="center"/>
              <w:rPr>
                <w:rFonts w:ascii="宋体" w:hAnsi="宋体" w:cs="宋体"/>
                <w:kern w:val="0"/>
                <w:szCs w:val="21"/>
              </w:rPr>
            </w:pPr>
            <w:r>
              <w:rPr>
                <w:rFonts w:hint="eastAsia" w:ascii="宋体" w:hAnsi="宋体" w:cs="宋体"/>
                <w:kern w:val="0"/>
                <w:szCs w:val="21"/>
              </w:rPr>
              <w:t>拟投入的服务资源（车辆、场地、工具、机器等）情况</w:t>
            </w:r>
          </w:p>
        </w:tc>
        <w:tc>
          <w:tcPr>
            <w:tcW w:w="720" w:type="dxa"/>
            <w:vAlign w:val="center"/>
          </w:tcPr>
          <w:p>
            <w:pPr>
              <w:spacing w:line="360" w:lineRule="auto"/>
              <w:jc w:val="center"/>
              <w:rPr>
                <w:rFonts w:ascii="宋体" w:hAnsi="宋体" w:cs="宋体"/>
                <w:kern w:val="0"/>
                <w:szCs w:val="21"/>
              </w:rPr>
            </w:pPr>
            <w:r>
              <w:rPr>
                <w:rFonts w:hint="eastAsia" w:ascii="宋体" w:hAnsi="宋体" w:cs="宋体"/>
                <w:kern w:val="0"/>
                <w:szCs w:val="21"/>
              </w:rPr>
              <w:t>5</w:t>
            </w:r>
          </w:p>
        </w:tc>
        <w:tc>
          <w:tcPr>
            <w:tcW w:w="6796" w:type="dxa"/>
            <w:tcBorders>
              <w:right w:val="double" w:color="auto" w:sz="4" w:space="0"/>
            </w:tcBorders>
            <w:vAlign w:val="center"/>
          </w:tcPr>
          <w:p>
            <w:pPr>
              <w:adjustRightInd w:val="0"/>
              <w:spacing w:line="360" w:lineRule="auto"/>
              <w:rPr>
                <w:rFonts w:ascii="宋体" w:hAnsi="宋体" w:cs="宋体"/>
                <w:b/>
                <w:bCs/>
                <w:kern w:val="0"/>
                <w:szCs w:val="21"/>
              </w:rPr>
            </w:pPr>
            <w:r>
              <w:rPr>
                <w:rFonts w:hint="eastAsia" w:ascii="宋体" w:hAnsi="宋体" w:cs="宋体"/>
                <w:b/>
                <w:bCs/>
                <w:kern w:val="0"/>
                <w:szCs w:val="21"/>
              </w:rPr>
              <w:t>评审内容：</w:t>
            </w:r>
          </w:p>
          <w:p>
            <w:pPr>
              <w:adjustRightInd w:val="0"/>
              <w:spacing w:line="360" w:lineRule="auto"/>
              <w:rPr>
                <w:rFonts w:ascii="宋体" w:hAnsi="宋体" w:cs="宋体"/>
                <w:kern w:val="0"/>
                <w:szCs w:val="21"/>
              </w:rPr>
            </w:pPr>
            <w:r>
              <w:rPr>
                <w:rFonts w:hint="eastAsia" w:ascii="宋体" w:hAnsi="宋体" w:cs="宋体"/>
                <w:kern w:val="0"/>
                <w:szCs w:val="21"/>
              </w:rPr>
              <w:t>车辆要求：投标人承诺为本项目提供1辆或以上项目用车的，每配备1辆得2.5分，最高5分。</w:t>
            </w:r>
          </w:p>
          <w:p>
            <w:pPr>
              <w:adjustRightInd w:val="0"/>
              <w:spacing w:line="360" w:lineRule="auto"/>
              <w:rPr>
                <w:rFonts w:ascii="宋体" w:hAnsi="宋体" w:cs="宋体"/>
                <w:kern w:val="0"/>
                <w:szCs w:val="21"/>
              </w:rPr>
            </w:pPr>
          </w:p>
          <w:p>
            <w:pPr>
              <w:adjustRightInd w:val="0"/>
              <w:spacing w:line="360" w:lineRule="auto"/>
              <w:rPr>
                <w:rFonts w:ascii="宋体" w:hAnsi="宋体" w:cs="宋体"/>
                <w:b/>
                <w:bCs/>
                <w:kern w:val="0"/>
                <w:szCs w:val="21"/>
              </w:rPr>
            </w:pPr>
            <w:r>
              <w:rPr>
                <w:rFonts w:hint="eastAsia" w:ascii="宋体" w:hAnsi="宋体" w:cs="宋体"/>
                <w:b/>
                <w:bCs/>
                <w:kern w:val="0"/>
                <w:szCs w:val="21"/>
              </w:rPr>
              <w:t>评审依据:</w:t>
            </w:r>
          </w:p>
          <w:p>
            <w:pPr>
              <w:adjustRightInd w:val="0"/>
              <w:spacing w:line="360" w:lineRule="auto"/>
              <w:rPr>
                <w:rFonts w:ascii="宋体" w:hAnsi="宋体" w:cs="宋体"/>
                <w:kern w:val="0"/>
                <w:szCs w:val="21"/>
              </w:rPr>
            </w:pPr>
            <w:r>
              <w:rPr>
                <w:rFonts w:hint="eastAsia" w:ascii="宋体" w:hAnsi="宋体" w:cs="宋体"/>
                <w:kern w:val="0"/>
                <w:szCs w:val="21"/>
              </w:rPr>
              <w:t>1.自有车辆要求提供与投标人单位名称相符,且在车检有效期内车辆的行驶证；租赁车辆要求提供与投标人签订租赁合同的单位名称相符,且在车检有效期内车辆的行驶证以及租赁合同；</w:t>
            </w:r>
          </w:p>
          <w:p>
            <w:pPr>
              <w:adjustRightInd w:val="0"/>
              <w:spacing w:line="360" w:lineRule="auto"/>
              <w:rPr>
                <w:rFonts w:ascii="宋体" w:hAnsi="宋体" w:cs="宋体"/>
                <w:kern w:val="0"/>
                <w:szCs w:val="21"/>
              </w:rPr>
            </w:pPr>
            <w:r>
              <w:rPr>
                <w:rFonts w:hint="eastAsia" w:ascii="宋体" w:hAnsi="宋体" w:cs="宋体"/>
                <w:kern w:val="0"/>
                <w:szCs w:val="21"/>
              </w:rPr>
              <w:t>2.以上证明文件均提供复印件或扫描件加盖投标人公章，原件备查。未按要求提供有效证明材料或提供不清晰导致评委无法识别的不计得分。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Merge w:val="restart"/>
            <w:tcBorders>
              <w:left w:val="double" w:color="auto" w:sz="4" w:space="0"/>
            </w:tcBorders>
            <w:vAlign w:val="center"/>
          </w:tcPr>
          <w:p>
            <w:pPr>
              <w:adjustRightInd w:val="0"/>
              <w:spacing w:line="360" w:lineRule="auto"/>
              <w:jc w:val="center"/>
              <w:rPr>
                <w:rFonts w:ascii="宋体" w:hAnsi="宋体" w:cs="宋体"/>
                <w:b/>
                <w:bCs/>
                <w:snapToGrid w:val="0"/>
                <w:kern w:val="0"/>
                <w:szCs w:val="21"/>
              </w:rPr>
            </w:pPr>
            <w:r>
              <w:rPr>
                <w:rFonts w:hint="eastAsia" w:ascii="宋体" w:hAnsi="宋体" w:cs="宋体"/>
                <w:b/>
                <w:bCs/>
                <w:snapToGrid w:val="0"/>
                <w:kern w:val="0"/>
                <w:szCs w:val="21"/>
              </w:rPr>
              <w:t>商务标（S）</w:t>
            </w:r>
          </w:p>
          <w:p>
            <w:pPr>
              <w:adjustRightInd w:val="0"/>
              <w:spacing w:line="360" w:lineRule="auto"/>
              <w:jc w:val="center"/>
              <w:rPr>
                <w:rFonts w:ascii="宋体" w:hAnsi="宋体" w:cs="宋体"/>
                <w:b/>
                <w:bCs/>
                <w:snapToGrid w:val="0"/>
                <w:kern w:val="0"/>
                <w:szCs w:val="21"/>
              </w:rPr>
            </w:pPr>
            <w:r>
              <w:rPr>
                <w:rFonts w:hint="eastAsia" w:ascii="宋体" w:hAnsi="宋体" w:cs="宋体"/>
                <w:b/>
                <w:bCs/>
                <w:snapToGrid w:val="0"/>
                <w:kern w:val="0"/>
                <w:szCs w:val="21"/>
              </w:rPr>
              <w:t>（总分17分）</w:t>
            </w:r>
          </w:p>
        </w:tc>
        <w:tc>
          <w:tcPr>
            <w:tcW w:w="1095" w:type="dxa"/>
            <w:vAlign w:val="center"/>
          </w:tcPr>
          <w:p>
            <w:pPr>
              <w:spacing w:line="360" w:lineRule="auto"/>
              <w:jc w:val="center"/>
              <w:rPr>
                <w:rFonts w:ascii="宋体" w:hAnsi="宋体" w:cs="宋体"/>
                <w:szCs w:val="21"/>
              </w:rPr>
            </w:pPr>
            <w:r>
              <w:rPr>
                <w:rFonts w:hint="eastAsia" w:ascii="宋体" w:hAnsi="宋体" w:cs="宋体"/>
                <w:szCs w:val="21"/>
              </w:rPr>
              <w:t>认证情况</w:t>
            </w:r>
          </w:p>
        </w:tc>
        <w:tc>
          <w:tcPr>
            <w:tcW w:w="720" w:type="dxa"/>
            <w:tcBorders>
              <w:right w:val="single" w:color="auto" w:sz="4" w:space="0"/>
            </w:tcBorders>
            <w:vAlign w:val="center"/>
          </w:tcPr>
          <w:p>
            <w:pPr>
              <w:widowControl/>
              <w:adjustRightInd w:val="0"/>
              <w:spacing w:line="360" w:lineRule="auto"/>
              <w:jc w:val="center"/>
              <w:rPr>
                <w:rFonts w:ascii="宋体" w:hAnsi="宋体" w:cs="宋体"/>
                <w:szCs w:val="21"/>
              </w:rPr>
            </w:pPr>
            <w:r>
              <w:rPr>
                <w:rFonts w:hint="eastAsia" w:ascii="宋体" w:hAnsi="宋体" w:cs="宋体"/>
                <w:szCs w:val="21"/>
              </w:rPr>
              <w:t>5</w:t>
            </w:r>
          </w:p>
        </w:tc>
        <w:tc>
          <w:tcPr>
            <w:tcW w:w="6796" w:type="dxa"/>
            <w:tcBorders>
              <w:left w:val="single" w:color="auto" w:sz="4" w:space="0"/>
              <w:right w:val="double" w:color="auto" w:sz="4" w:space="0"/>
            </w:tcBorders>
            <w:vAlign w:val="center"/>
          </w:tcPr>
          <w:p>
            <w:pPr>
              <w:widowControl/>
              <w:spacing w:line="360" w:lineRule="auto"/>
              <w:jc w:val="left"/>
              <w:textAlignment w:val="center"/>
              <w:rPr>
                <w:rFonts w:ascii="宋体" w:hAnsi="宋体" w:cs="宋体"/>
                <w:szCs w:val="21"/>
              </w:rPr>
            </w:pPr>
            <w:r>
              <w:rPr>
                <w:rFonts w:hint="eastAsia" w:ascii="宋体" w:hAnsi="宋体" w:cs="宋体"/>
                <w:szCs w:val="21"/>
              </w:rPr>
              <w:t>评审</w:t>
            </w:r>
            <w:r>
              <w:rPr>
                <w:rFonts w:ascii="宋体" w:hAnsi="宋体" w:cs="宋体"/>
                <w:szCs w:val="21"/>
              </w:rPr>
              <w:t>内容：</w:t>
            </w:r>
          </w:p>
          <w:p>
            <w:pPr>
              <w:widowControl/>
              <w:spacing w:line="360" w:lineRule="auto"/>
              <w:jc w:val="left"/>
              <w:textAlignment w:val="center"/>
              <w:rPr>
                <w:rFonts w:ascii="宋体" w:hAnsi="宋体" w:cs="宋体"/>
                <w:szCs w:val="21"/>
              </w:rPr>
            </w:pPr>
            <w:r>
              <w:rPr>
                <w:rFonts w:ascii="宋体" w:hAnsi="宋体" w:cs="宋体"/>
                <w:szCs w:val="21"/>
              </w:rPr>
              <w:t>1.投标人具有质量管理体系认证证书的，得</w:t>
            </w:r>
            <w:r>
              <w:rPr>
                <w:rFonts w:hint="eastAsia" w:ascii="宋体" w:hAnsi="宋体" w:cs="宋体"/>
                <w:szCs w:val="21"/>
              </w:rPr>
              <w:t>0.6分</w:t>
            </w:r>
            <w:r>
              <w:rPr>
                <w:rFonts w:ascii="宋体" w:hAnsi="宋体" w:cs="宋体"/>
                <w:szCs w:val="21"/>
              </w:rPr>
              <w:t>；</w:t>
            </w:r>
          </w:p>
          <w:p>
            <w:pPr>
              <w:widowControl/>
              <w:spacing w:line="360" w:lineRule="auto"/>
              <w:jc w:val="left"/>
              <w:textAlignment w:val="center"/>
              <w:rPr>
                <w:rFonts w:ascii="宋体" w:hAnsi="宋体" w:cs="宋体"/>
                <w:szCs w:val="21"/>
              </w:rPr>
            </w:pPr>
            <w:r>
              <w:rPr>
                <w:rFonts w:ascii="宋体" w:hAnsi="宋体" w:cs="宋体"/>
                <w:szCs w:val="21"/>
              </w:rPr>
              <w:t>2.投标人具有IT服务管理体系认证证书，得</w:t>
            </w:r>
            <w:r>
              <w:rPr>
                <w:rFonts w:hint="eastAsia" w:ascii="宋体" w:hAnsi="宋体" w:cs="宋体"/>
                <w:szCs w:val="21"/>
              </w:rPr>
              <w:t>1.8分</w:t>
            </w:r>
            <w:r>
              <w:rPr>
                <w:rFonts w:ascii="宋体" w:hAnsi="宋体" w:cs="宋体"/>
                <w:szCs w:val="21"/>
              </w:rPr>
              <w:t>；</w:t>
            </w:r>
          </w:p>
          <w:p>
            <w:pPr>
              <w:widowControl/>
              <w:spacing w:line="360" w:lineRule="auto"/>
              <w:jc w:val="left"/>
              <w:textAlignment w:val="center"/>
              <w:rPr>
                <w:rFonts w:ascii="宋体" w:hAnsi="宋体" w:cs="宋体"/>
                <w:szCs w:val="21"/>
              </w:rPr>
            </w:pPr>
            <w:r>
              <w:rPr>
                <w:rFonts w:ascii="宋体" w:hAnsi="宋体" w:cs="宋体"/>
                <w:szCs w:val="21"/>
              </w:rPr>
              <w:t>3.投标人具有信息安全管理体系认证证书的，得</w:t>
            </w:r>
            <w:r>
              <w:rPr>
                <w:rFonts w:hint="eastAsia" w:ascii="宋体" w:hAnsi="宋体" w:cs="宋体"/>
                <w:szCs w:val="21"/>
              </w:rPr>
              <w:t>0.6分</w:t>
            </w:r>
            <w:r>
              <w:rPr>
                <w:rFonts w:ascii="宋体" w:hAnsi="宋体" w:cs="宋体"/>
                <w:szCs w:val="21"/>
              </w:rPr>
              <w:t>；</w:t>
            </w:r>
          </w:p>
          <w:p>
            <w:pPr>
              <w:widowControl/>
              <w:spacing w:line="360" w:lineRule="auto"/>
              <w:jc w:val="left"/>
              <w:textAlignment w:val="center"/>
              <w:rPr>
                <w:rFonts w:ascii="宋体" w:hAnsi="宋体" w:cs="宋体"/>
                <w:szCs w:val="21"/>
              </w:rPr>
            </w:pPr>
            <w:r>
              <w:rPr>
                <w:rFonts w:ascii="宋体" w:hAnsi="宋体" w:cs="宋体"/>
                <w:szCs w:val="21"/>
              </w:rPr>
              <w:t>4.投标人具有ITSS信息技术服务标准符合性证书（业务领域：运行维护）的，得</w:t>
            </w:r>
            <w:r>
              <w:rPr>
                <w:rFonts w:hint="eastAsia" w:ascii="宋体" w:hAnsi="宋体" w:cs="宋体"/>
                <w:szCs w:val="21"/>
              </w:rPr>
              <w:t>2分。</w:t>
            </w:r>
          </w:p>
          <w:p>
            <w:pPr>
              <w:widowControl/>
              <w:spacing w:line="360" w:lineRule="auto"/>
              <w:jc w:val="left"/>
              <w:textAlignment w:val="center"/>
              <w:rPr>
                <w:rFonts w:ascii="宋体" w:hAnsi="宋体" w:cs="宋体"/>
                <w:b/>
                <w:bCs/>
                <w:szCs w:val="21"/>
              </w:rPr>
            </w:pPr>
            <w:r>
              <w:rPr>
                <w:rFonts w:hint="eastAsia" w:ascii="宋体" w:hAnsi="宋体" w:cs="宋体"/>
                <w:b/>
                <w:bCs/>
                <w:szCs w:val="21"/>
              </w:rPr>
              <w:t>注：以上累计最高得5分。</w:t>
            </w:r>
          </w:p>
          <w:p>
            <w:pPr>
              <w:adjustRightInd w:val="0"/>
              <w:spacing w:line="360" w:lineRule="auto"/>
              <w:rPr>
                <w:rFonts w:ascii="宋体" w:hAnsi="宋体" w:cs="宋体"/>
                <w:b/>
                <w:bCs/>
                <w:kern w:val="0"/>
                <w:szCs w:val="21"/>
              </w:rPr>
            </w:pPr>
          </w:p>
          <w:p>
            <w:pPr>
              <w:adjustRightInd w:val="0"/>
              <w:spacing w:line="360" w:lineRule="auto"/>
              <w:rPr>
                <w:rFonts w:ascii="宋体" w:hAnsi="宋体" w:cs="宋体"/>
                <w:b/>
                <w:bCs/>
                <w:szCs w:val="21"/>
              </w:rPr>
            </w:pPr>
            <w:r>
              <w:rPr>
                <w:rFonts w:hint="eastAsia" w:ascii="宋体" w:hAnsi="宋体" w:cs="宋体"/>
                <w:b/>
                <w:bCs/>
                <w:kern w:val="0"/>
                <w:szCs w:val="21"/>
              </w:rPr>
              <w:t>评审依据:</w:t>
            </w:r>
          </w:p>
          <w:p>
            <w:pPr>
              <w:widowControl/>
              <w:spacing w:line="360" w:lineRule="auto"/>
              <w:jc w:val="left"/>
              <w:textAlignment w:val="center"/>
              <w:rPr>
                <w:rFonts w:ascii="宋体" w:hAnsi="宋体" w:cs="宋体"/>
                <w:szCs w:val="21"/>
              </w:rPr>
            </w:pPr>
            <w:r>
              <w:rPr>
                <w:rFonts w:hint="eastAsia" w:ascii="宋体" w:hAnsi="宋体" w:cs="宋体"/>
                <w:szCs w:val="21"/>
              </w:rPr>
              <w:t>1.提供有效认证证书（如认证证书注明年审要求的，必须按规定年审且证书在有效期内的方为有效；如未注明年审要求的，证书必须在有效期内的方为有效）；</w:t>
            </w:r>
          </w:p>
          <w:p>
            <w:pPr>
              <w:widowControl/>
              <w:spacing w:line="360" w:lineRule="auto"/>
              <w:jc w:val="left"/>
              <w:textAlignment w:val="center"/>
              <w:rPr>
                <w:rFonts w:ascii="宋体" w:hAnsi="宋体" w:cs="宋体"/>
                <w:szCs w:val="21"/>
              </w:rPr>
            </w:pPr>
            <w:r>
              <w:rPr>
                <w:rFonts w:hint="eastAsia" w:ascii="宋体" w:hAnsi="宋体" w:cs="宋体"/>
                <w:szCs w:val="21"/>
              </w:rPr>
              <w:t>2.认证证书还需同时提供证书官网或权威机构【如：全国认证认可信息公共服务平台（cx.cnca.cn）】认证信息查询截图（截图需显示</w:t>
            </w:r>
            <w:r>
              <w:rPr>
                <w:rFonts w:hint="eastAsia" w:ascii="宋体" w:hAnsi="宋体" w:cs="宋体"/>
                <w:b/>
                <w:bCs/>
                <w:color w:val="FF0000"/>
                <w:szCs w:val="21"/>
              </w:rPr>
              <w:t>证书状态为有效</w:t>
            </w:r>
            <w:r>
              <w:rPr>
                <w:rFonts w:hint="eastAsia" w:ascii="宋体" w:hAnsi="宋体" w:cs="宋体"/>
                <w:szCs w:val="21"/>
              </w:rPr>
              <w:t>）。相关证书在公开渠道无法查询的，投标人需提供颁发部门或者监管机构的证明材料，证明证书真实有效且为合法机构颁发；</w:t>
            </w:r>
          </w:p>
          <w:p>
            <w:pPr>
              <w:widowControl/>
              <w:spacing w:line="360" w:lineRule="auto"/>
              <w:jc w:val="left"/>
              <w:textAlignment w:val="center"/>
              <w:rPr>
                <w:rFonts w:ascii="宋体" w:hAnsi="宋体" w:cs="宋体"/>
                <w:szCs w:val="21"/>
              </w:rPr>
            </w:pPr>
            <w:r>
              <w:rPr>
                <w:rFonts w:hint="eastAsia" w:ascii="宋体" w:hAnsi="宋体" w:cs="宋体"/>
                <w:szCs w:val="21"/>
              </w:rPr>
              <w:t>3.以上证明文件均提供复印件或扫描件（或官方网站截图）加盖投标人公章，原件备查。对于未提供证明文件，未提供查询记录且无其他证明材料的，或者提供不清晰导致评委无法判断的，均作不得分处理。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Merge w:val="continue"/>
            <w:tcBorders>
              <w:left w:val="double" w:color="auto" w:sz="4" w:space="0"/>
            </w:tcBorders>
            <w:vAlign w:val="center"/>
          </w:tcPr>
          <w:p>
            <w:pPr>
              <w:adjustRightInd w:val="0"/>
              <w:spacing w:line="360" w:lineRule="auto"/>
              <w:jc w:val="center"/>
              <w:rPr>
                <w:rFonts w:ascii="宋体" w:hAnsi="宋体" w:cs="宋体"/>
                <w:b/>
                <w:bCs/>
                <w:snapToGrid w:val="0"/>
                <w:kern w:val="0"/>
                <w:szCs w:val="21"/>
              </w:rPr>
            </w:pPr>
          </w:p>
        </w:tc>
        <w:tc>
          <w:tcPr>
            <w:tcW w:w="1095" w:type="dxa"/>
            <w:vAlign w:val="center"/>
          </w:tcPr>
          <w:p>
            <w:pPr>
              <w:widowControl/>
              <w:spacing w:before="100" w:beforeAutospacing="1" w:line="360" w:lineRule="auto"/>
              <w:jc w:val="center"/>
              <w:textAlignment w:val="center"/>
              <w:rPr>
                <w:rFonts w:ascii="宋体" w:hAnsi="宋体" w:cs="宋体"/>
                <w:szCs w:val="21"/>
              </w:rPr>
            </w:pPr>
            <w:r>
              <w:rPr>
                <w:rFonts w:hint="eastAsia" w:ascii="宋体" w:hAnsi="宋体" w:cs="宋体"/>
                <w:szCs w:val="21"/>
              </w:rPr>
              <w:t>同类业绩</w:t>
            </w:r>
          </w:p>
        </w:tc>
        <w:tc>
          <w:tcPr>
            <w:tcW w:w="720" w:type="dxa"/>
            <w:tcBorders>
              <w:right w:val="single" w:color="auto" w:sz="4" w:space="0"/>
            </w:tcBorders>
            <w:vAlign w:val="center"/>
          </w:tcPr>
          <w:p>
            <w:pPr>
              <w:widowControl/>
              <w:spacing w:line="360" w:lineRule="auto"/>
              <w:jc w:val="center"/>
              <w:rPr>
                <w:rFonts w:ascii="宋体" w:hAnsi="宋体" w:cs="宋体"/>
                <w:snapToGrid w:val="0"/>
                <w:kern w:val="0"/>
                <w:szCs w:val="21"/>
              </w:rPr>
            </w:pPr>
            <w:r>
              <w:rPr>
                <w:rFonts w:hint="eastAsia" w:ascii="宋体" w:hAnsi="宋体" w:cs="宋体"/>
                <w:snapToGrid w:val="0"/>
                <w:kern w:val="0"/>
                <w:szCs w:val="21"/>
              </w:rPr>
              <w:t>5</w:t>
            </w:r>
          </w:p>
        </w:tc>
        <w:tc>
          <w:tcPr>
            <w:tcW w:w="6796" w:type="dxa"/>
            <w:tcBorders>
              <w:left w:val="single" w:color="auto" w:sz="4" w:space="0"/>
              <w:right w:val="double" w:color="auto" w:sz="4" w:space="0"/>
            </w:tcBorders>
            <w:vAlign w:val="center"/>
          </w:tcPr>
          <w:p>
            <w:pPr>
              <w:snapToGrid w:val="0"/>
              <w:spacing w:line="360" w:lineRule="auto"/>
              <w:jc w:val="left"/>
              <w:rPr>
                <w:rFonts w:ascii="宋体" w:hAnsi="宋体" w:cs="宋体"/>
                <w:kern w:val="0"/>
                <w:szCs w:val="21"/>
              </w:rPr>
            </w:pPr>
            <w:r>
              <w:rPr>
                <w:rFonts w:hint="eastAsia" w:ascii="宋体" w:hAnsi="宋体" w:cs="宋体"/>
                <w:b/>
                <w:bCs/>
                <w:kern w:val="0"/>
                <w:szCs w:val="21"/>
              </w:rPr>
              <w:t>评审内容：</w:t>
            </w:r>
          </w:p>
          <w:p>
            <w:pPr>
              <w:snapToGrid w:val="0"/>
              <w:spacing w:line="360" w:lineRule="auto"/>
              <w:jc w:val="left"/>
              <w:rPr>
                <w:rFonts w:ascii="宋体" w:hAnsi="宋体" w:cs="宋体"/>
                <w:kern w:val="0"/>
                <w:szCs w:val="21"/>
              </w:rPr>
            </w:pPr>
            <w:r>
              <w:rPr>
                <w:rFonts w:hint="eastAsia" w:ascii="宋体" w:hAnsi="宋体" w:cs="宋体"/>
                <w:kern w:val="0"/>
                <w:szCs w:val="21"/>
              </w:rPr>
              <w:t>2019年1月1日至本项目投标截止日（以合同签订日期为准），投标人具有同类</w:t>
            </w:r>
            <w:r>
              <w:rPr>
                <w:rFonts w:hint="eastAsia"/>
              </w:rPr>
              <w:t>维护类项目业绩</w:t>
            </w:r>
            <w:r>
              <w:rPr>
                <w:rFonts w:hint="eastAsia" w:ascii="宋体" w:hAnsi="宋体" w:cs="宋体"/>
                <w:kern w:val="0"/>
                <w:szCs w:val="21"/>
              </w:rPr>
              <w:t>的，每提供1个项目得1.25分,最高得5分。</w:t>
            </w:r>
            <w:r>
              <w:rPr>
                <w:rFonts w:hint="eastAsia" w:ascii="宋体" w:hAnsi="宋体" w:cs="宋体"/>
                <w:b/>
                <w:bCs/>
                <w:kern w:val="0"/>
                <w:szCs w:val="21"/>
              </w:rPr>
              <w:t>注：同一项目续签合同的不可重复得分。</w:t>
            </w:r>
          </w:p>
          <w:p>
            <w:pPr>
              <w:snapToGrid w:val="0"/>
              <w:spacing w:line="360" w:lineRule="auto"/>
              <w:jc w:val="left"/>
              <w:rPr>
                <w:rFonts w:ascii="宋体" w:hAnsi="宋体" w:cs="宋体"/>
                <w:kern w:val="0"/>
                <w:szCs w:val="21"/>
              </w:rPr>
            </w:pPr>
          </w:p>
          <w:p>
            <w:pPr>
              <w:snapToGrid w:val="0"/>
              <w:spacing w:line="360" w:lineRule="auto"/>
              <w:jc w:val="left"/>
              <w:rPr>
                <w:rFonts w:ascii="宋体" w:hAnsi="宋体" w:cs="宋体"/>
                <w:kern w:val="0"/>
                <w:szCs w:val="21"/>
              </w:rPr>
            </w:pPr>
            <w:r>
              <w:rPr>
                <w:rFonts w:hint="eastAsia" w:ascii="宋体" w:hAnsi="宋体" w:cs="宋体"/>
                <w:b/>
                <w:bCs/>
                <w:kern w:val="0"/>
                <w:szCs w:val="21"/>
              </w:rPr>
              <w:t>评审依据：</w:t>
            </w:r>
          </w:p>
          <w:p>
            <w:pPr>
              <w:snapToGrid w:val="0"/>
              <w:spacing w:line="360" w:lineRule="auto"/>
              <w:jc w:val="left"/>
              <w:rPr>
                <w:rFonts w:ascii="宋体" w:hAnsi="宋体" w:cs="宋体"/>
                <w:kern w:val="0"/>
                <w:szCs w:val="21"/>
              </w:rPr>
            </w:pPr>
            <w:r>
              <w:rPr>
                <w:rFonts w:hint="eastAsia" w:ascii="宋体" w:hAnsi="宋体" w:cs="宋体"/>
                <w:kern w:val="0"/>
                <w:szCs w:val="21"/>
              </w:rPr>
              <w:t>1.要求同时提供合同关键页信息（关键信息包括但不仅限于合同的项目名称、服务内容、合同服务期限、合同签订日期、甲乙双方签字盖章页，且提供的材料各项信息不得有任何遮挡）和履约评价为合格或验收合格证明文件作为得分依据；</w:t>
            </w:r>
          </w:p>
          <w:p>
            <w:pPr>
              <w:snapToGrid w:val="0"/>
              <w:spacing w:line="360" w:lineRule="auto"/>
              <w:jc w:val="left"/>
              <w:rPr>
                <w:rFonts w:ascii="宋体" w:hAnsi="宋体" w:cs="宋体"/>
                <w:kern w:val="0"/>
                <w:szCs w:val="21"/>
              </w:rPr>
            </w:pPr>
            <w:r>
              <w:rPr>
                <w:rFonts w:hint="eastAsia" w:ascii="宋体" w:hAnsi="宋体" w:cs="宋体"/>
                <w:kern w:val="0"/>
                <w:szCs w:val="21"/>
              </w:rPr>
              <w:t>2.通过合同关键信息无法判断是否得分的，也可以提供能证明得分的其它证明资料，如项目报告或合同甲方出具的证明文件；</w:t>
            </w:r>
          </w:p>
          <w:p>
            <w:pPr>
              <w:snapToGrid w:val="0"/>
              <w:spacing w:line="360" w:lineRule="auto"/>
              <w:jc w:val="left"/>
              <w:rPr>
                <w:rFonts w:ascii="宋体" w:hAnsi="宋体" w:cs="宋体"/>
                <w:kern w:val="0"/>
                <w:szCs w:val="21"/>
              </w:rPr>
            </w:pPr>
            <w:r>
              <w:rPr>
                <w:rFonts w:hint="eastAsia" w:ascii="宋体" w:hAnsi="宋体" w:cs="宋体"/>
                <w:kern w:val="0"/>
                <w:szCs w:val="21"/>
              </w:rPr>
              <w:t>3.</w:t>
            </w:r>
            <w:r>
              <w:rPr>
                <w:rFonts w:hint="eastAsia" w:ascii="宋体" w:hAnsi="宋体" w:cs="宋体"/>
                <w:szCs w:val="21"/>
              </w:rPr>
              <w:t>履约评价合格或者验收合格证明文件需加盖合同甲方公章（或甲方业务章）</w:t>
            </w:r>
            <w:r>
              <w:rPr>
                <w:rFonts w:hint="eastAsia" w:ascii="宋体" w:hAnsi="宋体" w:cs="宋体"/>
                <w:kern w:val="0"/>
                <w:szCs w:val="21"/>
              </w:rPr>
              <w:t>；</w:t>
            </w:r>
          </w:p>
          <w:p>
            <w:pPr>
              <w:snapToGrid w:val="0"/>
              <w:spacing w:line="360" w:lineRule="auto"/>
              <w:jc w:val="left"/>
              <w:rPr>
                <w:rFonts w:ascii="宋体" w:hAnsi="宋体" w:cs="宋体"/>
                <w:kern w:val="0"/>
                <w:szCs w:val="21"/>
              </w:rPr>
            </w:pPr>
            <w:r>
              <w:rPr>
                <w:rFonts w:hint="eastAsia" w:ascii="宋体" w:hAnsi="宋体" w:cs="宋体"/>
                <w:kern w:val="0"/>
                <w:szCs w:val="21"/>
              </w:rPr>
              <w:t>4.以上证明文件均提供复印件或扫描件加盖投标人公章，原件备查。未按要求提供有效证明材料或提供不清晰导致评委无法识别的不计得分。</w:t>
            </w:r>
          </w:p>
          <w:p>
            <w:pPr>
              <w:snapToGrid w:val="0"/>
              <w:spacing w:line="360" w:lineRule="auto"/>
              <w:jc w:val="left"/>
              <w:rPr>
                <w:rFonts w:ascii="宋体" w:hAnsi="宋体" w:cs="宋体"/>
                <w:kern w:val="0"/>
                <w:szCs w:val="21"/>
              </w:rPr>
            </w:pPr>
            <w:r>
              <w:rPr>
                <w:rFonts w:hint="eastAsia" w:ascii="宋体" w:hAnsi="宋体" w:cs="宋体"/>
                <w:kern w:val="0"/>
                <w:szCs w:val="21"/>
              </w:rPr>
              <w:t>注：为便于评委评审，履约评价或验收合格证明文件应附在 “同类项目业绩”证明文件后，每个项目对应一份履约评价或验收合格证明。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Merge w:val="continue"/>
            <w:tcBorders>
              <w:left w:val="double" w:color="auto" w:sz="4" w:space="0"/>
            </w:tcBorders>
            <w:vAlign w:val="center"/>
          </w:tcPr>
          <w:p>
            <w:pPr>
              <w:adjustRightInd w:val="0"/>
              <w:spacing w:line="360" w:lineRule="auto"/>
              <w:jc w:val="center"/>
              <w:rPr>
                <w:rFonts w:ascii="宋体" w:hAnsi="宋体" w:cs="宋体"/>
                <w:b/>
                <w:bCs/>
                <w:snapToGrid w:val="0"/>
                <w:kern w:val="0"/>
                <w:szCs w:val="21"/>
              </w:rPr>
            </w:pPr>
          </w:p>
        </w:tc>
        <w:tc>
          <w:tcPr>
            <w:tcW w:w="1095" w:type="dxa"/>
            <w:vAlign w:val="center"/>
          </w:tcPr>
          <w:p>
            <w:pPr>
              <w:widowControl/>
              <w:spacing w:before="100" w:beforeAutospacing="1" w:line="360" w:lineRule="exact"/>
              <w:jc w:val="center"/>
              <w:textAlignment w:val="center"/>
              <w:rPr>
                <w:rFonts w:ascii="宋体" w:hAnsi="宋体" w:cs="宋体"/>
                <w:szCs w:val="21"/>
              </w:rPr>
            </w:pPr>
            <w:r>
              <w:rPr>
                <w:rFonts w:hint="eastAsia" w:ascii="宋体" w:hAnsi="宋体" w:cs="宋体"/>
                <w:szCs w:val="21"/>
              </w:rPr>
              <w:t>售后服务机构</w:t>
            </w:r>
          </w:p>
        </w:tc>
        <w:tc>
          <w:tcPr>
            <w:tcW w:w="720" w:type="dxa"/>
            <w:tcBorders>
              <w:right w:val="single" w:color="auto" w:sz="4" w:space="0"/>
            </w:tcBorders>
            <w:vAlign w:val="center"/>
          </w:tcPr>
          <w:p>
            <w:pPr>
              <w:widowControl/>
              <w:spacing w:line="360" w:lineRule="exact"/>
              <w:jc w:val="center"/>
              <w:rPr>
                <w:rFonts w:ascii="宋体" w:hAnsi="宋体" w:cs="宋体"/>
                <w:snapToGrid w:val="0"/>
                <w:kern w:val="0"/>
                <w:szCs w:val="21"/>
              </w:rPr>
            </w:pPr>
            <w:r>
              <w:rPr>
                <w:rFonts w:hint="eastAsia" w:ascii="宋体" w:hAnsi="宋体" w:cs="宋体"/>
                <w:snapToGrid w:val="0"/>
                <w:kern w:val="0"/>
                <w:szCs w:val="21"/>
              </w:rPr>
              <w:t>2</w:t>
            </w:r>
          </w:p>
        </w:tc>
        <w:tc>
          <w:tcPr>
            <w:tcW w:w="6796" w:type="dxa"/>
            <w:tcBorders>
              <w:left w:val="single" w:color="auto" w:sz="4" w:space="0"/>
              <w:right w:val="double" w:color="auto" w:sz="4" w:space="0"/>
            </w:tcBorders>
            <w:vAlign w:val="center"/>
          </w:tcPr>
          <w:p>
            <w:pPr>
              <w:snapToGrid w:val="0"/>
              <w:spacing w:line="360" w:lineRule="exact"/>
              <w:jc w:val="left"/>
              <w:rPr>
                <w:rFonts w:ascii="宋体" w:hAnsi="宋体" w:cs="宋体"/>
                <w:b/>
                <w:bCs/>
                <w:kern w:val="0"/>
                <w:szCs w:val="21"/>
              </w:rPr>
            </w:pPr>
            <w:r>
              <w:rPr>
                <w:rFonts w:hint="eastAsia" w:ascii="宋体" w:hAnsi="宋体" w:cs="宋体"/>
                <w:b/>
                <w:bCs/>
                <w:kern w:val="0"/>
                <w:szCs w:val="21"/>
              </w:rPr>
              <w:t>评审内容：</w:t>
            </w:r>
          </w:p>
          <w:p>
            <w:pPr>
              <w:snapToGrid w:val="0"/>
              <w:spacing w:line="360" w:lineRule="exact"/>
              <w:jc w:val="left"/>
              <w:rPr>
                <w:rFonts w:ascii="宋体" w:hAnsi="宋体" w:cs="宋体"/>
                <w:kern w:val="0"/>
                <w:szCs w:val="21"/>
              </w:rPr>
            </w:pPr>
            <w:r>
              <w:rPr>
                <w:rFonts w:hint="eastAsia" w:ascii="宋体" w:hAnsi="宋体" w:cs="宋体"/>
                <w:kern w:val="0"/>
                <w:szCs w:val="21"/>
              </w:rPr>
              <w:t>投标人在深圳市设有合法注册的售后服务机构，或承诺中标后一个月内在深圳市设立售后服务机构的，得2分，其他情况不得分。</w:t>
            </w:r>
          </w:p>
          <w:p>
            <w:pPr>
              <w:snapToGrid w:val="0"/>
              <w:spacing w:line="360" w:lineRule="exact"/>
              <w:jc w:val="left"/>
              <w:rPr>
                <w:rFonts w:ascii="宋体" w:hAnsi="宋体" w:cs="宋体"/>
                <w:b/>
                <w:bCs/>
                <w:szCs w:val="21"/>
              </w:rPr>
            </w:pPr>
          </w:p>
          <w:p>
            <w:pPr>
              <w:snapToGrid w:val="0"/>
              <w:spacing w:line="360" w:lineRule="exact"/>
              <w:jc w:val="left"/>
              <w:rPr>
                <w:rFonts w:ascii="宋体" w:hAnsi="宋体" w:cs="宋体"/>
                <w:kern w:val="0"/>
                <w:szCs w:val="21"/>
              </w:rPr>
            </w:pPr>
            <w:r>
              <w:rPr>
                <w:rFonts w:hint="eastAsia" w:ascii="宋体" w:hAnsi="宋体" w:cs="宋体"/>
                <w:b/>
                <w:bCs/>
                <w:kern w:val="0"/>
                <w:szCs w:val="21"/>
              </w:rPr>
              <w:t>评审依据：</w:t>
            </w:r>
          </w:p>
          <w:p>
            <w:pPr>
              <w:snapToGrid w:val="0"/>
              <w:spacing w:line="360" w:lineRule="exact"/>
              <w:jc w:val="left"/>
              <w:rPr>
                <w:rFonts w:ascii="宋体" w:hAnsi="宋体" w:cs="宋体"/>
                <w:kern w:val="0"/>
                <w:szCs w:val="21"/>
              </w:rPr>
            </w:pPr>
            <w:r>
              <w:rPr>
                <w:rFonts w:hint="eastAsia" w:ascii="宋体" w:hAnsi="宋体" w:cs="宋体"/>
                <w:kern w:val="0"/>
                <w:szCs w:val="21"/>
              </w:rPr>
              <w:t>（1）提供售后服务机构证明，如为与投标人签订合作协议的售后服务机构，还需同时提供相关协议或合同；</w:t>
            </w:r>
          </w:p>
          <w:p>
            <w:pPr>
              <w:snapToGrid w:val="0"/>
              <w:spacing w:line="360" w:lineRule="exact"/>
              <w:jc w:val="left"/>
              <w:rPr>
                <w:rFonts w:ascii="宋体" w:hAnsi="宋体" w:cs="宋体"/>
                <w:kern w:val="0"/>
                <w:szCs w:val="21"/>
              </w:rPr>
            </w:pPr>
            <w:r>
              <w:rPr>
                <w:rFonts w:hint="eastAsia" w:ascii="宋体" w:hAnsi="宋体" w:cs="宋体"/>
                <w:kern w:val="0"/>
                <w:szCs w:val="21"/>
              </w:rPr>
              <w:t>（2）如承诺中标后设立售后服务机构的，需提供承诺函（格式自拟）；</w:t>
            </w:r>
          </w:p>
          <w:p>
            <w:pPr>
              <w:snapToGrid w:val="0"/>
              <w:spacing w:line="360" w:lineRule="exact"/>
              <w:jc w:val="left"/>
              <w:rPr>
                <w:rFonts w:ascii="宋体" w:hAnsi="宋体" w:cs="宋体"/>
                <w:kern w:val="0"/>
                <w:szCs w:val="21"/>
              </w:rPr>
            </w:pPr>
            <w:r>
              <w:rPr>
                <w:rFonts w:hint="eastAsia" w:ascii="宋体" w:hAnsi="宋体" w:cs="宋体"/>
                <w:kern w:val="0"/>
                <w:szCs w:val="21"/>
              </w:rPr>
              <w:t>（3）以上证明文件均提供扫描件，原件备查。未按要求提供有效证明材料或提供不清晰导致评委无法识别的不计得分。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Merge w:val="continue"/>
            <w:tcBorders>
              <w:left w:val="double" w:color="auto" w:sz="4" w:space="0"/>
            </w:tcBorders>
            <w:vAlign w:val="center"/>
          </w:tcPr>
          <w:p>
            <w:pPr>
              <w:adjustRightInd w:val="0"/>
              <w:spacing w:line="360" w:lineRule="auto"/>
              <w:jc w:val="center"/>
              <w:rPr>
                <w:rFonts w:ascii="宋体" w:hAnsi="宋体" w:cs="宋体"/>
                <w:b/>
                <w:bCs/>
                <w:snapToGrid w:val="0"/>
                <w:kern w:val="0"/>
                <w:szCs w:val="21"/>
              </w:rPr>
            </w:pPr>
          </w:p>
        </w:tc>
        <w:tc>
          <w:tcPr>
            <w:tcW w:w="1095" w:type="dxa"/>
            <w:vAlign w:val="center"/>
          </w:tcPr>
          <w:p>
            <w:pPr>
              <w:widowControl/>
              <w:spacing w:before="100" w:beforeAutospacing="1" w:after="100" w:afterAutospacing="1" w:line="360" w:lineRule="exact"/>
              <w:jc w:val="center"/>
              <w:rPr>
                <w:rFonts w:ascii="宋体" w:hAnsi="宋体" w:cs="宋体"/>
                <w:kern w:val="0"/>
                <w:szCs w:val="21"/>
              </w:rPr>
            </w:pPr>
            <w:r>
              <w:rPr>
                <w:rFonts w:hint="eastAsia" w:ascii="宋体" w:hAnsi="宋体" w:cs="宋体"/>
                <w:kern w:val="0"/>
                <w:szCs w:val="21"/>
              </w:rPr>
              <w:t>诚信情况</w:t>
            </w:r>
          </w:p>
        </w:tc>
        <w:tc>
          <w:tcPr>
            <w:tcW w:w="720" w:type="dxa"/>
            <w:tcBorders>
              <w:right w:val="single" w:color="auto" w:sz="4" w:space="0"/>
            </w:tcBorders>
            <w:vAlign w:val="center"/>
          </w:tcPr>
          <w:p>
            <w:pPr>
              <w:widowControl/>
              <w:spacing w:before="100" w:beforeAutospacing="1" w:after="100" w:afterAutospacing="1" w:line="360" w:lineRule="exact"/>
              <w:jc w:val="center"/>
              <w:rPr>
                <w:rFonts w:ascii="宋体" w:hAnsi="宋体" w:cs="宋体"/>
                <w:kern w:val="0"/>
                <w:szCs w:val="21"/>
              </w:rPr>
            </w:pPr>
            <w:r>
              <w:rPr>
                <w:rFonts w:hint="eastAsia" w:ascii="宋体" w:hAnsi="宋体" w:cs="宋体"/>
                <w:kern w:val="0"/>
                <w:szCs w:val="21"/>
              </w:rPr>
              <w:t>5</w:t>
            </w:r>
          </w:p>
        </w:tc>
        <w:tc>
          <w:tcPr>
            <w:tcW w:w="6796" w:type="dxa"/>
            <w:tcBorders>
              <w:left w:val="single" w:color="auto" w:sz="4" w:space="0"/>
              <w:right w:val="double" w:color="auto" w:sz="4" w:space="0"/>
            </w:tcBorders>
            <w:vAlign w:val="center"/>
          </w:tcPr>
          <w:p>
            <w:pPr>
              <w:adjustRightInd w:val="0"/>
              <w:spacing w:line="360" w:lineRule="exact"/>
              <w:rPr>
                <w:rFonts w:ascii="宋体" w:hAnsi="宋体" w:cs="宋体"/>
                <w:b/>
                <w:bCs/>
                <w:kern w:val="0"/>
                <w:szCs w:val="21"/>
              </w:rPr>
            </w:pPr>
            <w:r>
              <w:rPr>
                <w:rFonts w:hint="eastAsia" w:ascii="宋体" w:hAnsi="宋体" w:cs="宋体"/>
                <w:b/>
                <w:bCs/>
                <w:kern w:val="0"/>
                <w:szCs w:val="21"/>
              </w:rPr>
              <w:t>评审内容：</w:t>
            </w:r>
          </w:p>
          <w:p>
            <w:pPr>
              <w:adjustRightInd w:val="0"/>
              <w:spacing w:line="360" w:lineRule="exact"/>
              <w:rPr>
                <w:rFonts w:ascii="宋体" w:hAnsi="宋体" w:cs="宋体"/>
                <w:szCs w:val="21"/>
              </w:rPr>
            </w:pPr>
            <w:r>
              <w:rPr>
                <w:rFonts w:hint="eastAsia" w:ascii="宋体" w:hAnsi="宋体" w:cs="宋体"/>
                <w:szCs w:val="21"/>
              </w:rPr>
              <w:t xml:space="preserve">投标人参与政府采购活动在诚信管理中受过主管部门通报处理且仍在实施期限内的本项不得分，否则得5分。 </w:t>
            </w:r>
          </w:p>
          <w:p>
            <w:pPr>
              <w:adjustRightInd w:val="0"/>
              <w:spacing w:line="360" w:lineRule="exact"/>
              <w:rPr>
                <w:rFonts w:ascii="宋体" w:hAnsi="宋体" w:cs="宋体"/>
                <w:b/>
                <w:bCs/>
                <w:szCs w:val="21"/>
              </w:rPr>
            </w:pPr>
          </w:p>
          <w:p>
            <w:pPr>
              <w:adjustRightInd w:val="0"/>
              <w:spacing w:line="360" w:lineRule="exact"/>
              <w:rPr>
                <w:rFonts w:ascii="宋体" w:hAnsi="宋体" w:cs="宋体"/>
                <w:szCs w:val="21"/>
              </w:rPr>
            </w:pPr>
            <w:r>
              <w:rPr>
                <w:rFonts w:hint="eastAsia" w:ascii="宋体" w:hAnsi="宋体" w:cs="宋体"/>
                <w:b/>
                <w:bCs/>
                <w:kern w:val="0"/>
                <w:szCs w:val="21"/>
              </w:rPr>
              <w:t>评审依据：</w:t>
            </w:r>
          </w:p>
          <w:p>
            <w:pPr>
              <w:adjustRightInd w:val="0"/>
              <w:spacing w:line="360" w:lineRule="exact"/>
              <w:rPr>
                <w:rFonts w:ascii="宋体" w:hAnsi="宋体" w:cs="宋体"/>
                <w:szCs w:val="21"/>
              </w:rPr>
            </w:pPr>
            <w:r>
              <w:rPr>
                <w:rFonts w:hint="eastAsia" w:ascii="宋体" w:hAnsi="宋体" w:cs="宋体"/>
                <w:szCs w:val="21"/>
              </w:rPr>
              <w:t>投标人按采购文件格式如实提供《诚信承诺函》，承诺函格式及内容不得修改，否则不得分。如若响应投标人承诺与实际情况不相符，将按虚假响应报相关主管部门处理。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Borders>
              <w:left w:val="double" w:color="auto" w:sz="4" w:space="0"/>
              <w:bottom w:val="double" w:color="auto" w:sz="4" w:space="0"/>
            </w:tcBorders>
            <w:vAlign w:val="center"/>
          </w:tcPr>
          <w:p>
            <w:pPr>
              <w:spacing w:line="360" w:lineRule="auto"/>
              <w:jc w:val="center"/>
              <w:rPr>
                <w:rFonts w:ascii="宋体" w:hAnsi="宋体" w:cs="宋体"/>
                <w:b/>
                <w:snapToGrid w:val="0"/>
                <w:kern w:val="0"/>
                <w:szCs w:val="21"/>
              </w:rPr>
            </w:pPr>
            <w:r>
              <w:rPr>
                <w:rFonts w:hint="eastAsia" w:ascii="宋体" w:hAnsi="宋体" w:cs="宋体"/>
                <w:b/>
                <w:snapToGrid w:val="0"/>
                <w:kern w:val="0"/>
                <w:szCs w:val="21"/>
              </w:rPr>
              <w:t>总得分（N）</w:t>
            </w:r>
          </w:p>
          <w:p>
            <w:pPr>
              <w:adjustRightInd w:val="0"/>
              <w:snapToGrid w:val="0"/>
              <w:spacing w:line="360" w:lineRule="auto"/>
              <w:jc w:val="center"/>
              <w:rPr>
                <w:rFonts w:ascii="宋体" w:hAnsi="宋体" w:cs="宋体"/>
                <w:b/>
                <w:snapToGrid w:val="0"/>
                <w:kern w:val="0"/>
                <w:szCs w:val="21"/>
              </w:rPr>
            </w:pPr>
            <w:r>
              <w:rPr>
                <w:rFonts w:hint="eastAsia" w:ascii="宋体" w:hAnsi="宋体" w:cs="宋体"/>
                <w:b/>
                <w:snapToGrid w:val="0"/>
                <w:kern w:val="0"/>
                <w:szCs w:val="21"/>
              </w:rPr>
              <w:t>（总分100分）</w:t>
            </w:r>
          </w:p>
        </w:tc>
        <w:tc>
          <w:tcPr>
            <w:tcW w:w="1095" w:type="dxa"/>
            <w:tcBorders>
              <w:bottom w:val="double" w:color="auto" w:sz="4" w:space="0"/>
            </w:tcBorders>
            <w:vAlign w:val="center"/>
          </w:tcPr>
          <w:p>
            <w:pPr>
              <w:adjustRightInd w:val="0"/>
              <w:snapToGrid w:val="0"/>
              <w:spacing w:line="360" w:lineRule="auto"/>
              <w:jc w:val="center"/>
              <w:rPr>
                <w:rFonts w:ascii="宋体" w:hAnsi="宋体" w:cs="宋体"/>
                <w:b/>
                <w:snapToGrid w:val="0"/>
                <w:kern w:val="0"/>
                <w:szCs w:val="21"/>
              </w:rPr>
            </w:pPr>
          </w:p>
        </w:tc>
        <w:tc>
          <w:tcPr>
            <w:tcW w:w="720" w:type="dxa"/>
            <w:tcBorders>
              <w:bottom w:val="double" w:color="auto" w:sz="4" w:space="0"/>
            </w:tcBorders>
            <w:vAlign w:val="center"/>
          </w:tcPr>
          <w:p>
            <w:pPr>
              <w:adjustRightInd w:val="0"/>
              <w:snapToGrid w:val="0"/>
              <w:spacing w:line="360" w:lineRule="auto"/>
              <w:jc w:val="center"/>
              <w:rPr>
                <w:rFonts w:ascii="宋体" w:hAnsi="宋体" w:cs="宋体"/>
                <w:snapToGrid w:val="0"/>
                <w:kern w:val="0"/>
                <w:szCs w:val="21"/>
              </w:rPr>
            </w:pPr>
            <w:r>
              <w:rPr>
                <w:rFonts w:hint="eastAsia" w:ascii="宋体" w:hAnsi="宋体" w:cs="宋体"/>
                <w:snapToGrid w:val="0"/>
                <w:kern w:val="0"/>
                <w:szCs w:val="21"/>
              </w:rPr>
              <w:t>100</w:t>
            </w:r>
          </w:p>
        </w:tc>
        <w:tc>
          <w:tcPr>
            <w:tcW w:w="6796" w:type="dxa"/>
            <w:tcBorders>
              <w:bottom w:val="double" w:color="auto" w:sz="4" w:space="0"/>
              <w:right w:val="double" w:color="auto" w:sz="4" w:space="0"/>
            </w:tcBorders>
            <w:vAlign w:val="center"/>
          </w:tcPr>
          <w:p>
            <w:pPr>
              <w:spacing w:line="360" w:lineRule="auto"/>
              <w:jc w:val="center"/>
              <w:rPr>
                <w:rFonts w:ascii="宋体" w:hAnsi="宋体" w:cs="宋体"/>
                <w:snapToGrid w:val="0"/>
                <w:kern w:val="0"/>
                <w:szCs w:val="21"/>
              </w:rPr>
            </w:pPr>
            <w:r>
              <w:rPr>
                <w:rFonts w:hint="eastAsia" w:ascii="宋体" w:hAnsi="宋体" w:cs="宋体"/>
                <w:snapToGrid w:val="0"/>
                <w:kern w:val="0"/>
                <w:szCs w:val="21"/>
              </w:rPr>
              <w:t>N=J+G+S</w:t>
            </w:r>
          </w:p>
        </w:tc>
      </w:tr>
    </w:tbl>
    <w:p>
      <w:pPr>
        <w:widowControl/>
        <w:jc w:val="left"/>
        <w:rPr>
          <w:rFonts w:cs="仿宋" w:asciiTheme="minorEastAsia" w:hAnsiTheme="minorEastAsia" w:eastAsiaTheme="minorEastAsia"/>
          <w:b/>
          <w:color w:val="FF0000"/>
          <w:sz w:val="28"/>
          <w:szCs w:val="28"/>
        </w:rPr>
      </w:pPr>
    </w:p>
    <w:p>
      <w:pPr>
        <w:rPr>
          <w:rFonts w:hint="eastAsia" w:cs="仿宋" w:asciiTheme="minorEastAsia" w:hAnsiTheme="minorEastAsia" w:eastAsiaTheme="minorEastAsia"/>
          <w:b/>
          <w:color w:val="FF0000"/>
          <w:sz w:val="28"/>
          <w:szCs w:val="28"/>
        </w:rPr>
      </w:pPr>
      <w:r>
        <w:rPr>
          <w:rFonts w:hint="eastAsia" w:cs="仿宋" w:asciiTheme="minorEastAsia" w:hAnsiTheme="minorEastAsia" w:eastAsiaTheme="minorEastAsia"/>
          <w:b/>
          <w:color w:val="FF0000"/>
          <w:sz w:val="28"/>
          <w:szCs w:val="28"/>
        </w:rPr>
        <w:br w:type="page"/>
      </w:r>
    </w:p>
    <w:p>
      <w:pPr>
        <w:widowControl/>
        <w:jc w:val="left"/>
        <w:rPr>
          <w:rFonts w:cs="仿宋" w:asciiTheme="minorEastAsia" w:hAnsiTheme="minorEastAsia" w:eastAsiaTheme="minorEastAsia"/>
          <w:b/>
          <w:color w:val="FF0000"/>
          <w:sz w:val="28"/>
          <w:szCs w:val="28"/>
        </w:rPr>
      </w:pPr>
      <w:r>
        <w:rPr>
          <w:rFonts w:hint="eastAsia" w:cs="仿宋" w:asciiTheme="minorEastAsia" w:hAnsiTheme="minorEastAsia" w:eastAsiaTheme="minorEastAsia"/>
          <w:b/>
          <w:color w:val="FF0000"/>
          <w:sz w:val="28"/>
          <w:szCs w:val="28"/>
        </w:rPr>
        <w:t>注：</w:t>
      </w:r>
    </w:p>
    <w:p>
      <w:pPr>
        <w:widowControl/>
        <w:spacing w:line="360" w:lineRule="auto"/>
        <w:jc w:val="center"/>
        <w:rPr>
          <w:rFonts w:cs="仿宋" w:asciiTheme="minorEastAsia" w:hAnsiTheme="minorEastAsia" w:eastAsiaTheme="minorEastAsia"/>
          <w:b/>
          <w:sz w:val="28"/>
        </w:rPr>
      </w:pPr>
      <w:r>
        <w:rPr>
          <w:rFonts w:hint="eastAsia" w:cs="仿宋" w:asciiTheme="minorEastAsia" w:hAnsiTheme="minorEastAsia" w:eastAsiaTheme="minorEastAsia"/>
          <w:b/>
          <w:sz w:val="28"/>
        </w:rPr>
        <w:t>政府采购优惠政策</w:t>
      </w:r>
    </w:p>
    <w:p>
      <w:pPr>
        <w:widowControl/>
        <w:spacing w:line="360" w:lineRule="auto"/>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（1）根据《财政部 工业和信息化部关于印发《政府采购促进中小企业发展管理办法》的通知》(财库〔2020〕46号)、《财政部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符合政府采购优惠政策的证明材料的投标供应商，其</w:t>
      </w:r>
      <w:r>
        <w:rPr>
          <w:rFonts w:hint="eastAsia" w:cs="仿宋" w:asciiTheme="minorEastAsia" w:hAnsiTheme="minorEastAsia" w:eastAsiaTheme="minorEastAsia"/>
          <w:b/>
          <w:szCs w:val="21"/>
        </w:rPr>
        <w:t>投标报价扣除</w:t>
      </w:r>
      <w:r>
        <w:rPr>
          <w:rFonts w:hint="eastAsia" w:cs="仿宋" w:asciiTheme="minorEastAsia" w:hAnsiTheme="minorEastAsia" w:eastAsiaTheme="minorEastAsia"/>
          <w:b/>
          <w:szCs w:val="21"/>
          <w:u w:val="single"/>
        </w:rPr>
        <w:t xml:space="preserve"> 10 </w:t>
      </w:r>
      <w:r>
        <w:rPr>
          <w:rFonts w:hint="eastAsia" w:cs="仿宋" w:asciiTheme="minorEastAsia" w:hAnsiTheme="minorEastAsia" w:eastAsiaTheme="minorEastAsia"/>
          <w:b/>
          <w:szCs w:val="21"/>
        </w:rPr>
        <w:t>%（请在10%-20%范围内选择）后参与评审</w:t>
      </w:r>
      <w:r>
        <w:rPr>
          <w:rFonts w:hint="eastAsia" w:cs="仿宋" w:asciiTheme="minorEastAsia" w:hAnsiTheme="minorEastAsia" w:eastAsiaTheme="minorEastAsia"/>
          <w:szCs w:val="21"/>
        </w:rPr>
        <w:t>。对于同时属于小微企业、监狱企业或残疾人福利性单位的，不重复进行投标报价扣除。</w:t>
      </w:r>
    </w:p>
    <w:p>
      <w:pPr>
        <w:spacing w:line="360" w:lineRule="auto"/>
        <w:ind w:firstLine="373" w:firstLineChars="177"/>
        <w:rPr>
          <w:rFonts w:cs="仿宋" w:asciiTheme="minorEastAsia" w:hAnsiTheme="minorEastAsia" w:eastAsiaTheme="minorEastAsia"/>
          <w:b/>
          <w:bCs/>
          <w:szCs w:val="21"/>
        </w:rPr>
      </w:pPr>
      <w:r>
        <w:rPr>
          <w:rFonts w:hint="eastAsia" w:cs="仿宋" w:asciiTheme="minorEastAsia" w:hAnsiTheme="minorEastAsia" w:eastAsiaTheme="minorEastAsia"/>
          <w:b/>
          <w:bCs/>
          <w:szCs w:val="21"/>
        </w:rPr>
        <w:t>本项目所属行业为</w:t>
      </w:r>
      <w:r>
        <w:rPr>
          <w:rFonts w:hint="eastAsia" w:cs="仿宋" w:asciiTheme="minorEastAsia" w:hAnsiTheme="minorEastAsia" w:eastAsiaTheme="minorEastAsia"/>
          <w:b/>
          <w:bCs/>
          <w:szCs w:val="21"/>
          <w:u w:val="single"/>
        </w:rPr>
        <w:t xml:space="preserve"> </w:t>
      </w:r>
      <w:r>
        <w:rPr>
          <w:rFonts w:hint="eastAsia" w:cs="仿宋" w:asciiTheme="minorEastAsia" w:hAnsiTheme="minorEastAsia" w:eastAsiaTheme="minorEastAsia"/>
          <w:b/>
          <w:bCs/>
          <w:szCs w:val="21"/>
          <w:highlight w:val="yellow"/>
          <w:u w:val="single"/>
        </w:rPr>
        <w:t xml:space="preserve"> 其他未列明行业 </w:t>
      </w:r>
      <w:r>
        <w:rPr>
          <w:rFonts w:hint="eastAsia" w:cs="仿宋" w:asciiTheme="minorEastAsia" w:hAnsiTheme="minorEastAsia" w:eastAsiaTheme="minorEastAsia"/>
          <w:b/>
          <w:bCs/>
          <w:szCs w:val="21"/>
          <w:u w:val="single"/>
        </w:rPr>
        <w:t xml:space="preserve">  </w:t>
      </w:r>
      <w:r>
        <w:rPr>
          <w:rFonts w:hint="eastAsia" w:cs="仿宋" w:asciiTheme="minorEastAsia" w:hAnsiTheme="minorEastAsia" w:eastAsiaTheme="minorEastAsia"/>
          <w:b/>
          <w:bCs/>
          <w:szCs w:val="21"/>
        </w:rPr>
        <w:t>，投标供应商应根据《工业和信息化部、国家统计局、国家发展和改革委员会、财政部关于印发中小企业划型标准规定的通知》(工信部联企业〔2011〕300号)规定的中小企业划型标准填写《中小企业声明函》。</w:t>
      </w:r>
    </w:p>
    <w:p>
      <w:pPr>
        <w:widowControl/>
        <w:spacing w:line="360" w:lineRule="auto"/>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（2）联合协议中约定，小型、微型企业的协议合同金额占到联合体协议合同总金额30%以上的，</w:t>
      </w:r>
      <w:r>
        <w:rPr>
          <w:rFonts w:hint="eastAsia" w:cs="仿宋" w:asciiTheme="minorEastAsia" w:hAnsiTheme="minorEastAsia" w:eastAsiaTheme="minorEastAsia"/>
          <w:b/>
          <w:szCs w:val="21"/>
        </w:rPr>
        <w:t>可给予联合体__/__% （请在4%-6%范围内选择）</w:t>
      </w:r>
      <w:r>
        <w:rPr>
          <w:rFonts w:hint="eastAsia" w:cs="仿宋" w:asciiTheme="minorEastAsia" w:hAnsiTheme="minorEastAsia" w:eastAsiaTheme="minorEastAsia"/>
          <w:szCs w:val="21"/>
        </w:rPr>
        <w:t>的价格扣除。</w:t>
      </w:r>
    </w:p>
    <w:p>
      <w:pPr>
        <w:widowControl/>
        <w:spacing w:line="360" w:lineRule="auto"/>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联合体各方均为小型、微型企业、监狱企业和残疾人福利性单位的，联合体视同为小型、微型企业、监狱企业和残疾人福利性单位，均享受政府采购优惠政策第一款的优惠政策。</w:t>
      </w:r>
    </w:p>
    <w:p>
      <w:pPr>
        <w:widowControl/>
        <w:spacing w:line="360" w:lineRule="auto"/>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3）优惠主体资格的认定资料为《中小企业声明函》、《残疾人福利性单位声明函》以及《监狱企业声明函》等承诺性质的资料（格式详见征集文件第三章）；监狱企业或者代理提供监狱企业货物的投标供应商如需享受优惠政策，除上述资料外，还须提供省级以上监狱管理局、戒毒管理局出具的监狱企业证明文件。</w:t>
      </w:r>
    </w:p>
    <w:p>
      <w:pPr>
        <w:spacing w:line="360" w:lineRule="auto"/>
        <w:ind w:firstLine="405" w:firstLineChars="193"/>
        <w:jc w:val="left"/>
        <w:rPr>
          <w:rFonts w:cs="仿宋" w:asciiTheme="minorEastAsia" w:hAnsiTheme="minorEastAsia" w:eastAsiaTheme="minorEastAsia"/>
          <w:b/>
          <w:szCs w:val="21"/>
        </w:rPr>
      </w:pPr>
      <w:r>
        <w:rPr>
          <w:rFonts w:hint="eastAsia" w:cs="仿宋" w:asciiTheme="minorEastAsia" w:hAnsiTheme="minorEastAsia" w:eastAsiaTheme="minorEastAsia"/>
          <w:szCs w:val="21"/>
        </w:rPr>
        <w:t>（4）投标产品属于《关于调整优化节能产品环境标志产品政府采购执行机制的通知》（财库〔2019〕9号）、《关于印发环境标志产品政府采购品目清单的通知》（财库〔2019〕18号）和《关于印发节能产品政府采购品目清单的通知》（财库〔2019〕19号）品目清单范围内的，应依据国家确定的认证机构出具的、处于有效期之内的节能产品、环境标志产品认证证书，对获得证书的产品实施政府优先采购或强制采购。</w:t>
      </w:r>
      <w:r>
        <w:rPr>
          <w:rFonts w:hint="eastAsia" w:cs="仿宋" w:asciiTheme="minorEastAsia" w:hAnsiTheme="minorEastAsia" w:eastAsiaTheme="minorEastAsia"/>
          <w:b/>
          <w:szCs w:val="21"/>
        </w:rPr>
        <w:t>对符合条件的获证产品（强制采购产品除外），根据该投标产品报价给予</w:t>
      </w:r>
      <w:r>
        <w:rPr>
          <w:rFonts w:hint="eastAsia" w:cs="仿宋" w:asciiTheme="minorEastAsia" w:hAnsiTheme="minorEastAsia" w:eastAsiaTheme="minorEastAsia"/>
          <w:b/>
          <w:szCs w:val="21"/>
          <w:u w:val="single"/>
        </w:rPr>
        <w:t xml:space="preserve"> 1 </w:t>
      </w:r>
      <w:r>
        <w:rPr>
          <w:rFonts w:hint="eastAsia" w:cs="仿宋" w:asciiTheme="minorEastAsia" w:hAnsiTheme="minorEastAsia" w:eastAsiaTheme="minorEastAsia"/>
          <w:b/>
          <w:szCs w:val="21"/>
        </w:rPr>
        <w:t>%的价格扣除，用扣除后的价格参与价格分的评审</w:t>
      </w:r>
      <w:r>
        <w:rPr>
          <w:rFonts w:hint="eastAsia" w:cs="仿宋" w:asciiTheme="minorEastAsia" w:hAnsiTheme="minorEastAsia" w:eastAsiaTheme="minorEastAsia"/>
          <w:szCs w:val="21"/>
        </w:rPr>
        <w:t>（需按投标文件格式部分“列入政府优先采购清单的投标产品一览表”的要求提供证明材料，否则不予价格扣除）。</w:t>
      </w: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pStyle w:val="16"/>
        <w:ind w:firstLine="0" w:firstLineChars="0"/>
        <w:rPr>
          <w:rFonts w:cs="仿宋" w:asciiTheme="minorEastAsia" w:hAnsiTheme="minorEastAsia" w:eastAsiaTheme="minorEastAsia"/>
          <w:b/>
          <w:snapToGrid w:val="0"/>
          <w:kern w:val="0"/>
          <w:sz w:val="56"/>
          <w:szCs w:val="96"/>
        </w:rPr>
      </w:pPr>
    </w:p>
    <w:p>
      <w:pPr>
        <w:pStyle w:val="16"/>
        <w:ind w:firstLine="562"/>
        <w:rPr>
          <w:rFonts w:cs="仿宋" w:asciiTheme="minorEastAsia" w:hAnsiTheme="minorEastAsia" w:eastAsiaTheme="minorEastAsia"/>
          <w:b/>
          <w:snapToGrid w:val="0"/>
          <w:kern w:val="0"/>
          <w:sz w:val="56"/>
          <w:szCs w:val="96"/>
        </w:rPr>
      </w:pPr>
    </w:p>
    <w:p>
      <w:pPr>
        <w:adjustRightInd w:val="0"/>
        <w:snapToGrid w:val="0"/>
        <w:spacing w:line="300" w:lineRule="auto"/>
        <w:jc w:val="center"/>
        <w:rPr>
          <w:rFonts w:hint="eastAsia" w:cs="仿宋" w:asciiTheme="minorEastAsia" w:hAnsiTheme="minorEastAsia" w:eastAsiaTheme="minorEastAsia"/>
          <w:b/>
          <w:snapToGrid w:val="0"/>
          <w:kern w:val="0"/>
          <w:sz w:val="56"/>
          <w:szCs w:val="96"/>
        </w:rPr>
      </w:pPr>
    </w:p>
    <w:p>
      <w:pPr>
        <w:adjustRightInd w:val="0"/>
        <w:snapToGrid w:val="0"/>
        <w:spacing w:line="300" w:lineRule="auto"/>
        <w:jc w:val="center"/>
        <w:rPr>
          <w:rFonts w:cs="仿宋" w:asciiTheme="minorEastAsia" w:hAnsiTheme="minorEastAsia" w:eastAsiaTheme="minorEastAsia"/>
          <w:b/>
          <w:snapToGrid w:val="0"/>
          <w:kern w:val="0"/>
          <w:sz w:val="56"/>
          <w:szCs w:val="96"/>
        </w:rPr>
      </w:pPr>
      <w:bookmarkStart w:id="12" w:name="_GoBack"/>
      <w:bookmarkEnd w:id="12"/>
      <w:r>
        <w:rPr>
          <w:rFonts w:hint="eastAsia" w:cs="仿宋" w:asciiTheme="minorEastAsia" w:hAnsiTheme="minorEastAsia" w:eastAsiaTheme="minorEastAsia"/>
          <w:b/>
          <w:snapToGrid w:val="0"/>
          <w:kern w:val="0"/>
          <w:sz w:val="56"/>
          <w:szCs w:val="96"/>
        </w:rPr>
        <w:t>第二部分</w:t>
      </w:r>
    </w:p>
    <w:p>
      <w:pPr>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采购项目需求</w:t>
      </w:r>
    </w:p>
    <w:p>
      <w:pPr>
        <w:widowControl/>
        <w:jc w:val="left"/>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br w:type="page"/>
      </w:r>
    </w:p>
    <w:p>
      <w:pPr>
        <w:jc w:val="center"/>
        <w:rPr>
          <w:rFonts w:cs="仿宋" w:asciiTheme="minorEastAsia" w:hAnsiTheme="minorEastAsia" w:eastAsiaTheme="minorEastAsia"/>
          <w:b/>
          <w:sz w:val="36"/>
          <w:szCs w:val="36"/>
        </w:rPr>
      </w:pPr>
      <w:r>
        <w:rPr>
          <w:rFonts w:hint="eastAsia" w:cs="仿宋" w:asciiTheme="minorEastAsia" w:hAnsiTheme="minorEastAsia" w:eastAsiaTheme="minorEastAsia"/>
          <w:b/>
          <w:sz w:val="36"/>
          <w:szCs w:val="36"/>
        </w:rPr>
        <w:t>征集项目需求</w:t>
      </w:r>
    </w:p>
    <w:p>
      <w:pPr>
        <w:widowControl/>
        <w:jc w:val="left"/>
        <w:rPr>
          <w:rFonts w:ascii="仿宋_GB2312" w:eastAsia="仿宋_GB2312"/>
          <w:b/>
          <w:sz w:val="24"/>
          <w:highlight w:val="yellow"/>
        </w:rPr>
      </w:pPr>
    </w:p>
    <w:p>
      <w:pPr>
        <w:widowControl/>
        <w:jc w:val="left"/>
        <w:rPr>
          <w:rFonts w:ascii="仿宋_GB2312" w:eastAsia="仿宋_GB2312"/>
          <w:b/>
          <w:sz w:val="24"/>
        </w:rPr>
      </w:pPr>
      <w:r>
        <w:rPr>
          <w:rFonts w:hint="eastAsia" w:ascii="仿宋_GB2312" w:eastAsia="仿宋_GB2312"/>
          <w:b/>
          <w:sz w:val="24"/>
          <w:highlight w:val="yellow"/>
        </w:rPr>
        <w:t>注：需求中加注★的条款为不可负偏离条款，任一项未响应或不满足要求的，将导致投标无效。</w:t>
      </w:r>
    </w:p>
    <w:p>
      <w:pPr>
        <w:pStyle w:val="17"/>
      </w:pPr>
    </w:p>
    <w:p>
      <w:pPr>
        <w:widowControl/>
        <w:jc w:val="left"/>
        <w:rPr>
          <w:rFonts w:cs="仿宋" w:asciiTheme="minorEastAsia" w:hAnsiTheme="minorEastAsia" w:eastAsiaTheme="minorEastAsia"/>
        </w:rPr>
      </w:pPr>
      <w:r>
        <w:rPr>
          <w:rFonts w:hint="eastAsia" w:cs="仿宋" w:asciiTheme="minorEastAsia" w:hAnsiTheme="minorEastAsia" w:eastAsiaTheme="minorEastAsia"/>
          <w:b/>
          <w:bCs/>
          <w:sz w:val="28"/>
          <w:szCs w:val="21"/>
        </w:rPr>
        <w:t>一、项目预算</w:t>
      </w:r>
    </w:p>
    <w:tbl>
      <w:tblPr>
        <w:tblStyle w:val="18"/>
        <w:tblW w:w="4997"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2522"/>
        <w:gridCol w:w="1249"/>
        <w:gridCol w:w="2580"/>
        <w:gridCol w:w="119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69" w:type="pct"/>
            <w:shd w:val="clear" w:color="auto" w:fill="C6D9F1"/>
            <w:vAlign w:val="center"/>
          </w:tcPr>
          <w:p>
            <w:pPr>
              <w:jc w:val="center"/>
              <w:rPr>
                <w:rFonts w:cs="仿宋" w:asciiTheme="minorEastAsia" w:hAnsiTheme="minorEastAsia" w:eastAsiaTheme="minorEastAsia"/>
                <w:b/>
              </w:rPr>
            </w:pPr>
            <w:r>
              <w:rPr>
                <w:rFonts w:hint="eastAsia" w:cs="仿宋" w:asciiTheme="minorEastAsia" w:hAnsiTheme="minorEastAsia" w:eastAsiaTheme="minorEastAsia"/>
                <w:b/>
              </w:rPr>
              <w:t>序号</w:t>
            </w:r>
          </w:p>
        </w:tc>
        <w:tc>
          <w:tcPr>
            <w:tcW w:w="1480" w:type="pct"/>
            <w:shd w:val="clear" w:color="auto" w:fill="C6D9F1"/>
            <w:vAlign w:val="center"/>
          </w:tcPr>
          <w:p>
            <w:pPr>
              <w:jc w:val="center"/>
              <w:rPr>
                <w:rFonts w:cs="仿宋" w:asciiTheme="minorEastAsia" w:hAnsiTheme="minorEastAsia" w:eastAsiaTheme="minorEastAsia"/>
                <w:b/>
              </w:rPr>
            </w:pPr>
            <w:r>
              <w:rPr>
                <w:rFonts w:hint="eastAsia" w:cs="仿宋" w:asciiTheme="minorEastAsia" w:hAnsiTheme="minorEastAsia" w:eastAsiaTheme="minorEastAsia"/>
                <w:b/>
              </w:rPr>
              <w:t>项目名称</w:t>
            </w:r>
          </w:p>
        </w:tc>
        <w:tc>
          <w:tcPr>
            <w:tcW w:w="733" w:type="pct"/>
            <w:shd w:val="clear" w:color="auto" w:fill="C6D9F1"/>
            <w:vAlign w:val="center"/>
          </w:tcPr>
          <w:p>
            <w:pPr>
              <w:jc w:val="center"/>
              <w:rPr>
                <w:rFonts w:cs="仿宋" w:asciiTheme="minorEastAsia" w:hAnsiTheme="minorEastAsia" w:eastAsiaTheme="minorEastAsia"/>
                <w:b/>
              </w:rPr>
            </w:pPr>
            <w:r>
              <w:rPr>
                <w:rFonts w:hint="eastAsia" w:cs="仿宋" w:asciiTheme="minorEastAsia" w:hAnsiTheme="minorEastAsia" w:eastAsiaTheme="minorEastAsia"/>
                <w:b/>
              </w:rPr>
              <w:t>数量</w:t>
            </w:r>
          </w:p>
        </w:tc>
        <w:tc>
          <w:tcPr>
            <w:tcW w:w="1514" w:type="pct"/>
            <w:shd w:val="clear" w:color="auto" w:fill="C6D9F1"/>
            <w:vAlign w:val="center"/>
          </w:tcPr>
          <w:p>
            <w:pPr>
              <w:jc w:val="center"/>
              <w:rPr>
                <w:rFonts w:cs="仿宋" w:asciiTheme="minorEastAsia" w:hAnsiTheme="minorEastAsia" w:eastAsiaTheme="minorEastAsia"/>
                <w:b/>
              </w:rPr>
            </w:pPr>
            <w:r>
              <w:rPr>
                <w:rFonts w:hint="eastAsia" w:cs="仿宋" w:asciiTheme="minorEastAsia" w:hAnsiTheme="minorEastAsia" w:eastAsiaTheme="minorEastAsia"/>
                <w:b/>
              </w:rPr>
              <w:t>采购控制金额</w:t>
            </w:r>
          </w:p>
        </w:tc>
        <w:tc>
          <w:tcPr>
            <w:tcW w:w="702" w:type="pct"/>
            <w:shd w:val="clear" w:color="auto" w:fill="C6D9F1"/>
            <w:vAlign w:val="center"/>
          </w:tcPr>
          <w:p>
            <w:pPr>
              <w:jc w:val="center"/>
              <w:rPr>
                <w:rFonts w:cs="仿宋" w:asciiTheme="minorEastAsia" w:hAnsiTheme="minorEastAsia" w:eastAsiaTheme="minorEastAsia"/>
                <w:b/>
              </w:rPr>
            </w:pPr>
            <w:r>
              <w:rPr>
                <w:rFonts w:hint="eastAsia" w:cs="仿宋" w:asciiTheme="minorEastAsia" w:hAnsiTheme="minorEastAsia" w:eastAsiaTheme="minorEastAsia"/>
                <w:b/>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9" w:type="pct"/>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480" w:type="pct"/>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rPr>
              <w:t>深圳地铁1号线西段警用通信系统运维项目</w:t>
            </w:r>
          </w:p>
        </w:tc>
        <w:tc>
          <w:tcPr>
            <w:tcW w:w="733" w:type="pct"/>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1项</w:t>
            </w:r>
          </w:p>
        </w:tc>
        <w:tc>
          <w:tcPr>
            <w:tcW w:w="1514" w:type="pct"/>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人民币55.231684万元</w:t>
            </w:r>
          </w:p>
        </w:tc>
        <w:tc>
          <w:tcPr>
            <w:tcW w:w="702" w:type="pct"/>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无</w:t>
            </w:r>
          </w:p>
        </w:tc>
      </w:tr>
    </w:tbl>
    <w:p>
      <w:pPr>
        <w:widowControl/>
        <w:spacing w:before="156" w:beforeLines="50"/>
        <w:jc w:val="left"/>
        <w:rPr>
          <w:rFonts w:cs="仿宋" w:asciiTheme="minorEastAsia" w:hAnsiTheme="minorEastAsia" w:eastAsiaTheme="minorEastAsia"/>
          <w:b/>
          <w:bCs/>
          <w:color w:val="FF0000"/>
          <w:sz w:val="24"/>
          <w:szCs w:val="21"/>
        </w:rPr>
      </w:pPr>
      <w:r>
        <w:rPr>
          <w:rFonts w:hint="eastAsia" w:cs="仿宋" w:asciiTheme="minorEastAsia" w:hAnsiTheme="minorEastAsia" w:eastAsiaTheme="minorEastAsia"/>
          <w:b/>
          <w:bCs/>
          <w:color w:val="FF0000"/>
          <w:sz w:val="24"/>
          <w:szCs w:val="21"/>
        </w:rPr>
        <w:t>注：</w:t>
      </w:r>
      <w:r>
        <w:rPr>
          <w:rFonts w:hint="eastAsia" w:cs="仿宋" w:asciiTheme="minorEastAsia" w:hAnsiTheme="minorEastAsia" w:eastAsiaTheme="minorEastAsia"/>
          <w:b/>
          <w:bCs/>
          <w:sz w:val="24"/>
          <w:szCs w:val="21"/>
          <w:highlight w:val="yellow"/>
        </w:rPr>
        <w:t>★</w:t>
      </w:r>
      <w:r>
        <w:rPr>
          <w:rFonts w:hint="eastAsia" w:cs="仿宋" w:asciiTheme="minorEastAsia" w:hAnsiTheme="minorEastAsia" w:eastAsiaTheme="minorEastAsia"/>
          <w:bCs/>
          <w:sz w:val="24"/>
          <w:szCs w:val="21"/>
          <w:highlight w:val="yellow"/>
        </w:rPr>
        <w:t>投标供应商的投标报价超过采购控制金额的将导致投标无效。</w:t>
      </w:r>
    </w:p>
    <w:p>
      <w:pPr>
        <w:widowControl/>
        <w:jc w:val="left"/>
        <w:rPr>
          <w:rFonts w:ascii="仿宋" w:hAnsi="仿宋" w:eastAsia="仿宋"/>
          <w:b/>
          <w:bCs/>
          <w:sz w:val="28"/>
          <w:szCs w:val="21"/>
        </w:rPr>
      </w:pPr>
    </w:p>
    <w:p>
      <w:pPr>
        <w:widowControl/>
        <w:spacing w:line="300" w:lineRule="auto"/>
        <w:jc w:val="left"/>
        <w:rPr>
          <w:rFonts w:ascii="仿宋" w:hAnsi="仿宋" w:eastAsia="仿宋"/>
          <w:b/>
          <w:bCs/>
          <w:sz w:val="28"/>
          <w:szCs w:val="21"/>
        </w:rPr>
      </w:pPr>
      <w:r>
        <w:rPr>
          <w:rFonts w:hint="eastAsia" w:ascii="仿宋" w:hAnsi="仿宋" w:eastAsia="仿宋"/>
          <w:b/>
          <w:bCs/>
          <w:sz w:val="28"/>
          <w:szCs w:val="21"/>
        </w:rPr>
        <w:t>二、项目概况</w:t>
      </w:r>
    </w:p>
    <w:p>
      <w:pPr>
        <w:widowControl/>
        <w:spacing w:line="300" w:lineRule="auto"/>
        <w:ind w:firstLine="480" w:firstLineChars="200"/>
        <w:jc w:val="left"/>
        <w:rPr>
          <w:rFonts w:ascii="仿宋" w:hAnsi="仿宋" w:eastAsia="仿宋"/>
          <w:sz w:val="24"/>
          <w:szCs w:val="24"/>
        </w:rPr>
      </w:pPr>
      <w:r>
        <w:rPr>
          <w:rFonts w:hint="eastAsia" w:ascii="仿宋" w:hAnsi="仿宋" w:eastAsia="仿宋"/>
          <w:sz w:val="24"/>
          <w:szCs w:val="24"/>
        </w:rPr>
        <w:t>深圳地铁1号线西段于2011年6月15日开通，由地铁1号线一期工程世界之窗站引出，起点位于白石洲站，沿途经过南山区、宝安区，沿线主要经过前海花园、大新村、宝城花园、海湾明珠、幸福海岸、丽晶国际、南山医院、宝安体育馆、宝安区政府、华丰科技园等片区，止于机场东站。线路长约23.6公里，共设15座车站，其中2座为高架站（后瑞、机场东），其他均为地下车站，分别是白石洲站、高新园站、深大站、桃园站、大新站、鲤鱼门站、前海湾站、新安站、宝安中心站、宝体站、坪洲站、西乡站、固戍站、后瑞站、机场东站。</w:t>
      </w:r>
    </w:p>
    <w:p>
      <w:pPr>
        <w:widowControl/>
        <w:spacing w:line="300" w:lineRule="auto"/>
        <w:ind w:firstLine="480" w:firstLineChars="200"/>
        <w:jc w:val="left"/>
        <w:rPr>
          <w:rFonts w:ascii="仿宋" w:hAnsi="仿宋" w:eastAsia="仿宋"/>
          <w:sz w:val="24"/>
          <w:szCs w:val="24"/>
        </w:rPr>
      </w:pPr>
      <w:r>
        <w:rPr>
          <w:rFonts w:hint="eastAsia" w:ascii="仿宋" w:hAnsi="仿宋" w:eastAsia="仿宋"/>
          <w:sz w:val="24"/>
          <w:szCs w:val="24"/>
        </w:rPr>
        <w:t>深圳地铁1号线西段警用通信系统运维项目由有线通信和信息网络系统、警用视频监控系统、警用无线通信系统组成。由于深圳地铁1号线西段警用通信系统运维项目原保修年限已到期，为保证设备的正常运行，规范操作流程及标准，提高系统维护效率，保障该系统长期稳定和可靠运行。需要采购购买一家专业的警用通信系统维护服务公司提供维护服务。</w:t>
      </w:r>
    </w:p>
    <w:p>
      <w:pPr>
        <w:widowControl/>
        <w:spacing w:line="300" w:lineRule="auto"/>
        <w:jc w:val="left"/>
        <w:rPr>
          <w:rFonts w:ascii="仿宋" w:hAnsi="仿宋" w:eastAsia="仿宋"/>
          <w:b/>
          <w:bCs/>
          <w:sz w:val="28"/>
          <w:szCs w:val="21"/>
        </w:rPr>
      </w:pPr>
    </w:p>
    <w:p>
      <w:pPr>
        <w:widowControl/>
        <w:spacing w:line="300" w:lineRule="auto"/>
        <w:jc w:val="left"/>
        <w:rPr>
          <w:rFonts w:ascii="仿宋" w:hAnsi="仿宋" w:eastAsia="仿宋"/>
          <w:b/>
          <w:bCs/>
          <w:sz w:val="28"/>
          <w:szCs w:val="21"/>
        </w:rPr>
      </w:pPr>
      <w:r>
        <w:rPr>
          <w:rFonts w:hint="eastAsia" w:ascii="仿宋" w:hAnsi="仿宋" w:eastAsia="仿宋"/>
          <w:b/>
          <w:bCs/>
          <w:sz w:val="28"/>
          <w:szCs w:val="21"/>
        </w:rPr>
        <w:t>三、服务需求</w:t>
      </w:r>
    </w:p>
    <w:p>
      <w:pPr>
        <w:rPr>
          <w:rFonts w:ascii="仿宋" w:hAnsi="仿宋" w:eastAsia="仿宋" w:cs="仿宋"/>
          <w:b/>
          <w:bCs/>
          <w:color w:val="000000"/>
          <w:sz w:val="24"/>
          <w:szCs w:val="24"/>
        </w:rPr>
      </w:pPr>
      <w:r>
        <w:rPr>
          <w:rFonts w:hint="eastAsia" w:ascii="仿宋" w:hAnsi="仿宋" w:eastAsia="仿宋" w:cs="仿宋"/>
          <w:b/>
          <w:bCs/>
          <w:color w:val="000000"/>
          <w:sz w:val="24"/>
          <w:szCs w:val="24"/>
        </w:rPr>
        <w:t>（一）项目范围</w:t>
      </w:r>
    </w:p>
    <w:tbl>
      <w:tblPr>
        <w:tblStyle w:val="18"/>
        <w:tblW w:w="54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23"/>
        <w:gridCol w:w="1006"/>
        <w:gridCol w:w="2040"/>
        <w:gridCol w:w="757"/>
        <w:gridCol w:w="1590"/>
        <w:gridCol w:w="674"/>
        <w:gridCol w:w="600"/>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440" w:type="pct"/>
            <w:shd w:val="clear" w:color="auto" w:fill="auto"/>
            <w:noWrap/>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所在区域</w:t>
            </w:r>
          </w:p>
        </w:tc>
        <w:tc>
          <w:tcPr>
            <w:tcW w:w="537" w:type="pct"/>
            <w:shd w:val="clear" w:color="auto" w:fill="auto"/>
            <w:noWrap/>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设备归属系统</w:t>
            </w:r>
          </w:p>
        </w:tc>
        <w:tc>
          <w:tcPr>
            <w:tcW w:w="1091" w:type="pct"/>
            <w:shd w:val="clear" w:color="auto" w:fill="auto"/>
            <w:noWrap/>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设备名称</w:t>
            </w:r>
          </w:p>
        </w:tc>
        <w:tc>
          <w:tcPr>
            <w:tcW w:w="405" w:type="pct"/>
            <w:shd w:val="clear" w:color="auto" w:fill="auto"/>
            <w:noWrap/>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品牌</w:t>
            </w:r>
          </w:p>
        </w:tc>
        <w:tc>
          <w:tcPr>
            <w:tcW w:w="850" w:type="pct"/>
            <w:shd w:val="clear" w:color="auto" w:fill="auto"/>
            <w:noWrap/>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型号</w:t>
            </w:r>
          </w:p>
        </w:tc>
        <w:tc>
          <w:tcPr>
            <w:tcW w:w="361" w:type="pct"/>
            <w:shd w:val="clear" w:color="auto" w:fill="auto"/>
            <w:noWrap/>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单位</w:t>
            </w:r>
          </w:p>
        </w:tc>
        <w:tc>
          <w:tcPr>
            <w:tcW w:w="321" w:type="pct"/>
            <w:shd w:val="clear" w:color="auto" w:fill="auto"/>
            <w:noWrap/>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数量</w:t>
            </w:r>
          </w:p>
        </w:tc>
        <w:tc>
          <w:tcPr>
            <w:tcW w:w="650" w:type="pct"/>
            <w:shd w:val="clear" w:color="auto" w:fill="auto"/>
            <w:noWrap/>
            <w:vAlign w:val="center"/>
          </w:tcPr>
          <w:p>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440"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白石洲站</w:t>
            </w:r>
          </w:p>
        </w:tc>
        <w:tc>
          <w:tcPr>
            <w:tcW w:w="537"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有线通信和</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信息网络系统</w:t>
            </w: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综合配线柜</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ZP-321-C2200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100对接线排</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100对配线架</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128对接线排</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128对配线架</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柜用告警器</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GJ-GY</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5</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光配线架</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40口</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光传输设备</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HONET-ONU</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7</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电话程控交换设备</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公务联络系统(EOW)</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8</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4口语音网关</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eSpace IAD104H</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9</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电话机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高科</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668</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公安网核心交换机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CE6881-48S6CQ</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11</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公安网接入交换机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S5731-H24T4XC</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视频网接入交换机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S5720-56C-EI</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13</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无线网接入交换机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S5720-56PC-EI</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14</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72芯ODF配线架</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72芯光纤熔配单元</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15</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48芯ODF配线架</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48芯光纤熔配单元</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16</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交流配电设备</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南方自动化</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配电箱</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17</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UPS主机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梅兰日兰</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Galaxy 3000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18</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机房环境监控</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计通</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OAO-8100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19</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19"标准机柜</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国产</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42U机柜</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20</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计算机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联想</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扬天M4990C</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21</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综合布线</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定制</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信息点位</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项</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22</w:t>
            </w:r>
          </w:p>
        </w:tc>
        <w:tc>
          <w:tcPr>
            <w:tcW w:w="440" w:type="pct"/>
            <w:vMerge w:val="continue"/>
            <w:vAlign w:val="center"/>
          </w:tcPr>
          <w:p>
            <w:pPr>
              <w:rPr>
                <w:rFonts w:ascii="仿宋" w:hAnsi="仿宋" w:eastAsia="仿宋" w:cs="仿宋"/>
                <w:color w:val="000000"/>
                <w:sz w:val="24"/>
                <w:szCs w:val="24"/>
              </w:rPr>
            </w:pPr>
          </w:p>
        </w:tc>
        <w:tc>
          <w:tcPr>
            <w:tcW w:w="537"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警用视频</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监控系统</w:t>
            </w: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半球摄像机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海康威视</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DS-2CE56F5P-IT3</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23</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NVR</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海康威视</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DS-7808N-E2</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24</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运营视频摄像机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派尔高</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ICS150-CS3.6</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44</w:t>
            </w:r>
          </w:p>
        </w:tc>
        <w:tc>
          <w:tcPr>
            <w:tcW w:w="650" w:type="pc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提供设备在线巡检服务，不含设备维护维修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25</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前端设备箱</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定制</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设备箱</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26</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前端ODF</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清华同方</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12芯光纤熔配单元</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27</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光端机管理器</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清华同方</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光端机管理器</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28</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数字转换器</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信义</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PS-AM0408</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29</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硬盘录像机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海康威视</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DS-8816HE-E8</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30</w:t>
            </w:r>
          </w:p>
        </w:tc>
        <w:tc>
          <w:tcPr>
            <w:tcW w:w="440" w:type="pct"/>
            <w:vMerge w:val="continue"/>
            <w:vAlign w:val="center"/>
          </w:tcPr>
          <w:p>
            <w:pPr>
              <w:rPr>
                <w:rFonts w:ascii="仿宋" w:hAnsi="仿宋" w:eastAsia="仿宋" w:cs="仿宋"/>
                <w:color w:val="000000"/>
                <w:sz w:val="24"/>
                <w:szCs w:val="24"/>
              </w:rPr>
            </w:pPr>
          </w:p>
        </w:tc>
        <w:tc>
          <w:tcPr>
            <w:tcW w:w="537"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警用无线</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通信系统</w:t>
            </w: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无线基站</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海能达</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DS-6210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vMerge w:val="restar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提供设备巡检服务，不含设备维护维修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31</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固定台</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海能达</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MD780i</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vMerge w:val="continue"/>
            <w:vAlign w:val="center"/>
          </w:tcPr>
          <w:p>
            <w:pP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32</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无线信号巡检服务</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国产</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定制</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项</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33</w:t>
            </w:r>
          </w:p>
        </w:tc>
        <w:tc>
          <w:tcPr>
            <w:tcW w:w="440"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高新园站</w:t>
            </w:r>
          </w:p>
        </w:tc>
        <w:tc>
          <w:tcPr>
            <w:tcW w:w="537"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有线通信和</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信息网络系统</w:t>
            </w: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综合配线柜</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ZP-321-C2200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34</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100对接线排</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100对配线架</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35</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128对接线排</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128对配线架</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36</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柜用告警器</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GJ-GY</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37</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光配线架</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40口</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38</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光传输设备</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HONET-ONU</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39</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电话程控交换设备</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公务联络系统(EOW)</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40</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4口语音网关</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eSpace IAD104H</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41</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电话机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高科</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668</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42</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公安网接入交换机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S5731-H24T4XC</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43</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视频网接入交换机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S5720-56C-EI</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44</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无线网接入交换机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S5720-56PC-EI</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45</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72芯ODF配线架</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72芯光纤熔配单元</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46</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48芯ODF配线架</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48芯光纤熔配单元</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47</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交流配电设备</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南方自动化</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配电箱</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48</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UPS主机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梅兰日兰</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Galaxy 3000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49</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机房环境监控</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计通</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OAO-8100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50</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19"标准机柜</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国产</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42U机柜</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51</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计算机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联想</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扬天M4990C</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52</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综合布线</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定制</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信息点位</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项</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53</w:t>
            </w:r>
          </w:p>
        </w:tc>
        <w:tc>
          <w:tcPr>
            <w:tcW w:w="440" w:type="pct"/>
            <w:vMerge w:val="continue"/>
            <w:vAlign w:val="center"/>
          </w:tcPr>
          <w:p>
            <w:pPr>
              <w:rPr>
                <w:rFonts w:ascii="仿宋" w:hAnsi="仿宋" w:eastAsia="仿宋" w:cs="仿宋"/>
                <w:color w:val="000000"/>
                <w:sz w:val="24"/>
                <w:szCs w:val="24"/>
              </w:rPr>
            </w:pPr>
          </w:p>
        </w:tc>
        <w:tc>
          <w:tcPr>
            <w:tcW w:w="537"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警用视频</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监控系统</w:t>
            </w: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半球摄像机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海康威视</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DS-2CE56F5P-IT3</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54</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NVR</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海康威视</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DS-7808N-E2</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55</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运营视频摄像机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派尔高</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ICS150-CS3.6</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42</w:t>
            </w:r>
          </w:p>
        </w:tc>
        <w:tc>
          <w:tcPr>
            <w:tcW w:w="650" w:type="pc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提供设备在线巡检服务，不含设备维护维修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56</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前端设备箱</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定制</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设备箱</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57</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前端ODF</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清华同方</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12芯光纤熔配单元</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58</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光端机管理器</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清华同方</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光端机管理器</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59</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数字转换器</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信义</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PS-AM0408</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60</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硬盘录像机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海康威视</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DS-8816HE-E8</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61</w:t>
            </w:r>
          </w:p>
        </w:tc>
        <w:tc>
          <w:tcPr>
            <w:tcW w:w="440" w:type="pct"/>
            <w:vMerge w:val="continue"/>
            <w:vAlign w:val="center"/>
          </w:tcPr>
          <w:p>
            <w:pPr>
              <w:rPr>
                <w:rFonts w:ascii="仿宋" w:hAnsi="仿宋" w:eastAsia="仿宋" w:cs="仿宋"/>
                <w:color w:val="000000"/>
                <w:sz w:val="24"/>
                <w:szCs w:val="24"/>
              </w:rPr>
            </w:pPr>
          </w:p>
        </w:tc>
        <w:tc>
          <w:tcPr>
            <w:tcW w:w="537"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警用无线</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通信系统</w:t>
            </w: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无线基站</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海能达</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DS-6210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vMerge w:val="restar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提供设备巡检服务，不含设备维护维修。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62</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固定台</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海能达</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MD780i</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vMerge w:val="continue"/>
            <w:vAlign w:val="center"/>
          </w:tcPr>
          <w:p>
            <w:pP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63</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无线信号巡检服务</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国产</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定制</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项</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64</w:t>
            </w:r>
          </w:p>
        </w:tc>
        <w:tc>
          <w:tcPr>
            <w:tcW w:w="440"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深大站</w:t>
            </w:r>
          </w:p>
        </w:tc>
        <w:tc>
          <w:tcPr>
            <w:tcW w:w="537"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有线通信和</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信息网络系统</w:t>
            </w: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综合配线柜</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ZP-321-C2200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65</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100对接线排</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100对配线架</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66</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128对接线排</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128对配线架</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67</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柜用告警器</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GJ-GY</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68</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光配线架</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40口</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69</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光传输设备</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HONET-ONU</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70</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电话程控交换设备</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公务联络系统(EOW)</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71</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4口语音网关</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eSpace IAD104H</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72</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电话机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高科</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668</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73</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公安网接入交换机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S5731-H24T4XC</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74</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视频网接入交换机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S5720-56C-EI</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75</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无线网接入交换机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S5720-56PC-EI</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76</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72芯ODF配线架</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72芯光纤熔配单元</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77</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48芯ODF配线架</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48芯光纤熔配单元</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78</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交流配电设备</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南方自动化</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配电箱</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79</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UPS主机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梅兰日兰</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Galaxy 3000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80</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机房环境监控</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计通</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OAO-8100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81</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19"标准机柜</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国产</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42U机柜</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82</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计算机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联想</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扬天M4990C</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83</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综合布线</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定制</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信息点位</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项</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84</w:t>
            </w:r>
          </w:p>
        </w:tc>
        <w:tc>
          <w:tcPr>
            <w:tcW w:w="440" w:type="pct"/>
            <w:vMerge w:val="continue"/>
            <w:vAlign w:val="center"/>
          </w:tcPr>
          <w:p>
            <w:pPr>
              <w:rPr>
                <w:rFonts w:ascii="仿宋" w:hAnsi="仿宋" w:eastAsia="仿宋" w:cs="仿宋"/>
                <w:color w:val="000000"/>
                <w:sz w:val="24"/>
                <w:szCs w:val="24"/>
              </w:rPr>
            </w:pPr>
          </w:p>
        </w:tc>
        <w:tc>
          <w:tcPr>
            <w:tcW w:w="537"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警用视频</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监控系统</w:t>
            </w: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半球摄像机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海康威视</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DS-2CE56F5P-IT3</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85</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NVR</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海康威视</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DS-7808N-E2</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86</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运营视频摄像机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派尔高</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ICS150-CS3.6</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56</w:t>
            </w:r>
          </w:p>
        </w:tc>
        <w:tc>
          <w:tcPr>
            <w:tcW w:w="650" w:type="pc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提供设备在线巡检服务，不含设备维护维修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87</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前端设备箱</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定制</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设备箱</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88</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前端ODF</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清华同方</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12芯光纤熔配单元</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89</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光端机管理器</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清华同方</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光端机管理器</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90</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数字转换器</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信义</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PS-AM0408</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91</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硬盘录像机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海康威视</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DS-8816HE-E8</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92</w:t>
            </w:r>
          </w:p>
        </w:tc>
        <w:tc>
          <w:tcPr>
            <w:tcW w:w="440" w:type="pct"/>
            <w:vMerge w:val="continue"/>
            <w:vAlign w:val="center"/>
          </w:tcPr>
          <w:p>
            <w:pPr>
              <w:rPr>
                <w:rFonts w:ascii="仿宋" w:hAnsi="仿宋" w:eastAsia="仿宋" w:cs="仿宋"/>
                <w:color w:val="000000"/>
                <w:sz w:val="24"/>
                <w:szCs w:val="24"/>
              </w:rPr>
            </w:pPr>
          </w:p>
        </w:tc>
        <w:tc>
          <w:tcPr>
            <w:tcW w:w="537"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警用无线</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通信系统</w:t>
            </w: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无线基站</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海能达</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DS-6210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vMerge w:val="restar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提供设备巡检服务，不含设备维护维修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93</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固定台</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海能达</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MD780i</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vMerge w:val="continue"/>
            <w:vAlign w:val="center"/>
          </w:tcPr>
          <w:p>
            <w:pP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94</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无线信号巡检服务</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国产</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定制</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项</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95</w:t>
            </w:r>
          </w:p>
        </w:tc>
        <w:tc>
          <w:tcPr>
            <w:tcW w:w="440"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桃园站</w:t>
            </w:r>
          </w:p>
        </w:tc>
        <w:tc>
          <w:tcPr>
            <w:tcW w:w="537"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有线通信和</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信息网络系统</w:t>
            </w: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综合配线柜</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ZP-321-C2200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96</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100对接线排</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100对配线架</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97</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128对接线排</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128对配线架</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98</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柜用告警器</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GJ-GY</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99</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光配线架</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40口</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100</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光传输设备</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HONET-ONU</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101</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电话程控交换设备</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公务联络系统(EOW)</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102</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4口语音网关</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eSpace IAD104H</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103</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电话机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高科</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668</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104</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公安网接入交换机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S5731-H24T4XC</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105</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视频网接入交换机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S5720-56C-EI</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106</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无线网接入交换机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S5720-56PC-EI</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107</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72芯ODF配线架</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72芯光纤熔配单元</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108</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48芯ODF配线架</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48芯光纤熔配单元</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109</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交流配电设备</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南方自动化</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配电箱</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110</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UPS主机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梅兰日兰</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Galaxy 3000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111</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机房环境监控</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计通</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OAO-8100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112</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19"标准机柜</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国产</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42U机柜</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113</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计算机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联想</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扬天M4990C</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114</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综合布线</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定制</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信息点位</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项</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115</w:t>
            </w:r>
          </w:p>
        </w:tc>
        <w:tc>
          <w:tcPr>
            <w:tcW w:w="440" w:type="pct"/>
            <w:vMerge w:val="continue"/>
            <w:vAlign w:val="center"/>
          </w:tcPr>
          <w:p>
            <w:pPr>
              <w:rPr>
                <w:rFonts w:ascii="仿宋" w:hAnsi="仿宋" w:eastAsia="仿宋" w:cs="仿宋"/>
                <w:color w:val="000000"/>
                <w:sz w:val="24"/>
                <w:szCs w:val="24"/>
              </w:rPr>
            </w:pPr>
          </w:p>
        </w:tc>
        <w:tc>
          <w:tcPr>
            <w:tcW w:w="537"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警用视频</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监控系统</w:t>
            </w: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半球摄像机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海康威视</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DS-2CE56F5P-IT3</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116</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NVR</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海康威视</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DS-7808N-E2</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117</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运营视频摄像机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派尔高</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ICS150-CS3.6</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48</w:t>
            </w:r>
          </w:p>
        </w:tc>
        <w:tc>
          <w:tcPr>
            <w:tcW w:w="650" w:type="pc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提供设备在线巡检服务，不含设备维护维修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118</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前端设备箱</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定制</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设备箱</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119</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前端ODF</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清华同方</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12芯光纤熔配单元</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120</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光端机管理器</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清华同方</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光端机管理器</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121</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数字转换器</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信义</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PS-AM0408</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122</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硬盘录像机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海康威视</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DS-8816HE-E8</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123</w:t>
            </w:r>
          </w:p>
        </w:tc>
        <w:tc>
          <w:tcPr>
            <w:tcW w:w="440" w:type="pct"/>
            <w:vMerge w:val="continue"/>
            <w:vAlign w:val="center"/>
          </w:tcPr>
          <w:p>
            <w:pPr>
              <w:rPr>
                <w:rFonts w:ascii="仿宋" w:hAnsi="仿宋" w:eastAsia="仿宋" w:cs="仿宋"/>
                <w:color w:val="000000"/>
                <w:sz w:val="24"/>
                <w:szCs w:val="24"/>
              </w:rPr>
            </w:pPr>
          </w:p>
        </w:tc>
        <w:tc>
          <w:tcPr>
            <w:tcW w:w="537"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警用无线</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通信系统</w:t>
            </w: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无线基站</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海能达</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DS-6210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vMerge w:val="restar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提供设备巡检服务，不含设备维护维修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124</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固定台</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海能达</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MD780i</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vMerge w:val="continue"/>
            <w:vAlign w:val="center"/>
          </w:tcPr>
          <w:p>
            <w:pP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125</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无线信号巡检服务</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国产</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定制</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项</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126</w:t>
            </w:r>
          </w:p>
        </w:tc>
        <w:tc>
          <w:tcPr>
            <w:tcW w:w="440"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大新站</w:t>
            </w:r>
          </w:p>
        </w:tc>
        <w:tc>
          <w:tcPr>
            <w:tcW w:w="537"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有线通信和</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信息网络系统</w:t>
            </w: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综合配线柜</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ZP-321-C2200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127</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100对接线排</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100对配线架</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128</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128对接线排</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128对配线架</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129</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柜用告警器</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GJ-GY</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130</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光配线架</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40口</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131</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光传输设备</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HONET-ONU</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132</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电话程控交换设备</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公务联络系统(EOW)</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133</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4口语音网关</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eSpace IAD104H</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134</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电话机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高科</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668</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135</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公安网接入交换机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S5731-H24T4XC</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136</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视频网接入交换机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S5720-56C-EI</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137</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无线网接入交换机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S5720-56PC-EI</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138</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72芯ODF配线架</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72芯光纤熔配单元</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139</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48芯ODF配线架</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48芯光纤熔配单元</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140</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交流配电设备</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南方自动化</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配电箱</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141</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UPS主机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梅兰日兰</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Galaxy 3000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142</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机房环境监控</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计通</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OAO-8100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143</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19"标准机柜</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国产</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42U机柜</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144</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计算机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联想</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扬天M4990C</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145</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综合布线</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定制</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信息点位</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项</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146</w:t>
            </w:r>
          </w:p>
        </w:tc>
        <w:tc>
          <w:tcPr>
            <w:tcW w:w="440" w:type="pct"/>
            <w:vMerge w:val="continue"/>
            <w:vAlign w:val="center"/>
          </w:tcPr>
          <w:p>
            <w:pPr>
              <w:rPr>
                <w:rFonts w:ascii="仿宋" w:hAnsi="仿宋" w:eastAsia="仿宋" w:cs="仿宋"/>
                <w:color w:val="000000"/>
                <w:sz w:val="24"/>
                <w:szCs w:val="24"/>
              </w:rPr>
            </w:pPr>
          </w:p>
        </w:tc>
        <w:tc>
          <w:tcPr>
            <w:tcW w:w="537"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警用视频</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监控系统</w:t>
            </w: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半球摄像机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海康威视</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DS-2CE56F5P-IT3</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147</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NVR</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海康威视</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DS-7808N-E2</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148</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运营视频摄像机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派尔高</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ICS150-CS3.6</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47</w:t>
            </w:r>
          </w:p>
        </w:tc>
        <w:tc>
          <w:tcPr>
            <w:tcW w:w="650" w:type="pc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提供设备在线巡检服务，不含设备维护维修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149</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前端设备箱</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定制</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设备箱</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150</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前端ODF</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清华同方</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12芯光纤熔配单元</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151</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光端机管理器</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清华同方</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光端机管理器</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152</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数字转换器</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信义</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PS-AM0408</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153</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硬盘录像机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海康威视</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DS-8816HE-E8</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154</w:t>
            </w:r>
          </w:p>
        </w:tc>
        <w:tc>
          <w:tcPr>
            <w:tcW w:w="440" w:type="pct"/>
            <w:vMerge w:val="continue"/>
            <w:vAlign w:val="center"/>
          </w:tcPr>
          <w:p>
            <w:pPr>
              <w:rPr>
                <w:rFonts w:ascii="仿宋" w:hAnsi="仿宋" w:eastAsia="仿宋" w:cs="仿宋"/>
                <w:color w:val="000000"/>
                <w:sz w:val="24"/>
                <w:szCs w:val="24"/>
              </w:rPr>
            </w:pPr>
          </w:p>
        </w:tc>
        <w:tc>
          <w:tcPr>
            <w:tcW w:w="537"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警用无线</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通信系统</w:t>
            </w: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无线基站</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海能达</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DS-6210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vMerge w:val="restar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提供设备巡检服务，不含设备维护维修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155</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固定台</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海能达</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MD780i</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vMerge w:val="continue"/>
            <w:vAlign w:val="center"/>
          </w:tcPr>
          <w:p>
            <w:pP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156</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无线信号巡检服务</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国产</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定制</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项</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157</w:t>
            </w:r>
          </w:p>
        </w:tc>
        <w:tc>
          <w:tcPr>
            <w:tcW w:w="440"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鲤鱼门站</w:t>
            </w:r>
          </w:p>
        </w:tc>
        <w:tc>
          <w:tcPr>
            <w:tcW w:w="537"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有线通信和</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信息网络系统</w:t>
            </w: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综合配线柜</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ZP-321-C2200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158</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100对接线排</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100对配线架</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159</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128对接线排</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128对配线架</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160</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柜用告警器</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GJ-GY</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161</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光配线架</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40口</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162</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光传输设备</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HONET-ONU</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163</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电话程控交换设备</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公务联络系统(EOW)</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164</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4口语音网关</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eSpace IAD104H</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165</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电话机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高科</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668</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166</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公安网接入交换机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S5731-H24T4XC</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167</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视频网接入交换机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S5720-56C-EI</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168</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无线网接入交换机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S5720-56PC-EI</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169</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72芯ODF配线架</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72芯光纤熔配单元</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170</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48芯ODF配线架</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48芯光纤熔配单元</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171</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交流配电设备</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南方自动化</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配电箱</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172</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UPS主机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梅兰日兰</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Galaxy 3000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173</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机房环境监控</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计通</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OAO-8100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174</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19"标准机柜</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国产</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42U机柜</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175</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计算机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联想</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扬天M4990C</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176</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综合布线</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定制</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信息点位</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项</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177</w:t>
            </w:r>
          </w:p>
        </w:tc>
        <w:tc>
          <w:tcPr>
            <w:tcW w:w="440" w:type="pct"/>
            <w:vMerge w:val="continue"/>
            <w:vAlign w:val="center"/>
          </w:tcPr>
          <w:p>
            <w:pPr>
              <w:rPr>
                <w:rFonts w:ascii="仿宋" w:hAnsi="仿宋" w:eastAsia="仿宋" w:cs="仿宋"/>
                <w:color w:val="000000"/>
                <w:sz w:val="24"/>
                <w:szCs w:val="24"/>
              </w:rPr>
            </w:pPr>
          </w:p>
        </w:tc>
        <w:tc>
          <w:tcPr>
            <w:tcW w:w="537"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警用视频</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监控系统</w:t>
            </w: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半球摄像机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海康威视</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DS-2CE56F5P-IT3</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178</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NVR</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海康威视</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DS-7808N-E2</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179</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运营视频摄像机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派尔高</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ICS150-CS3.6</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39</w:t>
            </w:r>
          </w:p>
        </w:tc>
        <w:tc>
          <w:tcPr>
            <w:tcW w:w="650" w:type="pc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提供设备在线巡检服务，不含设备维护维修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180</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前端设备箱</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定制</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设备箱</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181</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前端ODF</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清华同方</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12芯光纤熔配单元</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182</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光端机管理器</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清华同方</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光端机管理器</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183</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数字转换器</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信义</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PS-AM0408</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184</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硬盘录像机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海康威视</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DS-8816HE-E8</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185</w:t>
            </w:r>
          </w:p>
        </w:tc>
        <w:tc>
          <w:tcPr>
            <w:tcW w:w="440" w:type="pct"/>
            <w:vMerge w:val="continue"/>
            <w:vAlign w:val="center"/>
          </w:tcPr>
          <w:p>
            <w:pPr>
              <w:rPr>
                <w:rFonts w:ascii="仿宋" w:hAnsi="仿宋" w:eastAsia="仿宋" w:cs="仿宋"/>
                <w:color w:val="000000"/>
                <w:sz w:val="24"/>
                <w:szCs w:val="24"/>
              </w:rPr>
            </w:pPr>
          </w:p>
        </w:tc>
        <w:tc>
          <w:tcPr>
            <w:tcW w:w="537"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警用无线</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通信系统</w:t>
            </w: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无线基站</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海能达</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DS-6210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vMerge w:val="restar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提供设备巡检服务，不含设备维护维修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186</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固定台</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海能达</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MD780i</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vMerge w:val="continue"/>
            <w:vAlign w:val="center"/>
          </w:tcPr>
          <w:p>
            <w:pP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187</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无线信号巡检服务</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国产</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定制</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项</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188</w:t>
            </w:r>
          </w:p>
        </w:tc>
        <w:tc>
          <w:tcPr>
            <w:tcW w:w="440"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前海湾站</w:t>
            </w:r>
          </w:p>
        </w:tc>
        <w:tc>
          <w:tcPr>
            <w:tcW w:w="537"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有线通信和</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信息网络系统</w:t>
            </w: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综合配线柜</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ZP-321-C2200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189</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100对接线排</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100对配线架</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190</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128对接线排</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128对配线架</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191</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柜用告警器</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GJ-GY</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192</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光配线架</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40口</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193</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光传输设备</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HONET-ONU</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194</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电话程控交换设备</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公务联络系统(EOW)</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195</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4口语音网关</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eSpace IAD104H</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196</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电话机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高科</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668</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197</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公安网接入交换机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S5731-H24T4XC</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198</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视频网接入交换机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S5720-56C-EI</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199</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无线网接入交换机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S5720-56PC-EI</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200</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72芯ODF配线架</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72芯光纤熔配单元</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201</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48芯ODF配线架</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48芯光纤熔配单元</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202</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交流配电设备</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南方自动化</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配电箱</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203</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UPS主机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梅兰日兰</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Galaxy 3000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204</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机房环境监控</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计通</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OAO-8100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205</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19"标准机柜</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国产</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42U机柜</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206</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计算机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联想</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扬天M4990C</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207</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综合布线</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定制</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信息点位</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项</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208</w:t>
            </w:r>
          </w:p>
        </w:tc>
        <w:tc>
          <w:tcPr>
            <w:tcW w:w="440" w:type="pct"/>
            <w:vMerge w:val="continue"/>
            <w:vAlign w:val="center"/>
          </w:tcPr>
          <w:p>
            <w:pPr>
              <w:rPr>
                <w:rFonts w:ascii="仿宋" w:hAnsi="仿宋" w:eastAsia="仿宋" w:cs="仿宋"/>
                <w:color w:val="000000"/>
                <w:sz w:val="24"/>
                <w:szCs w:val="24"/>
              </w:rPr>
            </w:pPr>
          </w:p>
        </w:tc>
        <w:tc>
          <w:tcPr>
            <w:tcW w:w="537"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警用视频</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监控系统</w:t>
            </w: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半球摄像机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海康威视</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DS-2CE56F5P-IT3</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209</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NVR</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海康威视</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DS-7808N-E2</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210</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运营视频摄像机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派尔高</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ICS150-CS3.6</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47</w:t>
            </w:r>
          </w:p>
        </w:tc>
        <w:tc>
          <w:tcPr>
            <w:tcW w:w="650" w:type="pc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提供设备在线巡检服务，不含设备维护维修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211</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前端设备箱</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定制</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设备箱</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212</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前端ODF</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清华同方</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12芯光纤熔配单元</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213</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光端机管理器</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清华同方</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光端机管理器</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214</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数字转换器</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信义</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PS-AM0408</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215</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硬盘录像机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海康威视</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DS-8816HE-E8</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216</w:t>
            </w:r>
          </w:p>
        </w:tc>
        <w:tc>
          <w:tcPr>
            <w:tcW w:w="440" w:type="pct"/>
            <w:vMerge w:val="continue"/>
            <w:vAlign w:val="center"/>
          </w:tcPr>
          <w:p>
            <w:pPr>
              <w:rPr>
                <w:rFonts w:ascii="仿宋" w:hAnsi="仿宋" w:eastAsia="仿宋" w:cs="仿宋"/>
                <w:color w:val="000000"/>
                <w:sz w:val="24"/>
                <w:szCs w:val="24"/>
              </w:rPr>
            </w:pPr>
          </w:p>
        </w:tc>
        <w:tc>
          <w:tcPr>
            <w:tcW w:w="537"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警用无线</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通信系统</w:t>
            </w: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无线基站</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海能达</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DS-6210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vMerge w:val="restar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提供设备巡检服务，不含设备维护维修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217</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固定台</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海能达</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MD780i</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vMerge w:val="continue"/>
            <w:vAlign w:val="center"/>
          </w:tcPr>
          <w:p>
            <w:pP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218</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无线信号巡检服务</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国产</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定制</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项</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219</w:t>
            </w:r>
          </w:p>
        </w:tc>
        <w:tc>
          <w:tcPr>
            <w:tcW w:w="440"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新安站</w:t>
            </w:r>
          </w:p>
        </w:tc>
        <w:tc>
          <w:tcPr>
            <w:tcW w:w="537"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有线通信和</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信息网络系统</w:t>
            </w: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综合配线柜</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ZP-321-C2200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220</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100对接线排</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100对配线架</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221</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128对接线排</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128对配线架</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222</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柜用告警器</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GJ-GY</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223</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光配线架</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40口</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224</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光传输设备</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HONET-ONU</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225</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电话程控交换设备</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公务联络系统(EOW)</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226</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4口语音网关</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eSpace IAD104H</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227</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电话机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高科</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668</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228</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公安网接入交换机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S5731-H24T4XC</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229</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视频网接入交换机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S5720-56C-EI</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230</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无线网接入交换机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S5720-56PC-EI</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231</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72芯ODF配线架</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72芯光纤熔配单元</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232</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48芯ODF配线架</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48芯光纤熔配单元</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233</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交流配电设备</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南方自动化</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配电箱</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234</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UPS主机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梅兰日兰</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Galaxy 3000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235</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机房环境监控</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计通</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OAO-8100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236</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19"标准机柜</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国产</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42U机柜</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237</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计算机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联想</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扬天M4990C</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238</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综合布线</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定制</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信息点位</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项</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239</w:t>
            </w:r>
          </w:p>
        </w:tc>
        <w:tc>
          <w:tcPr>
            <w:tcW w:w="440" w:type="pct"/>
            <w:vMerge w:val="continue"/>
            <w:vAlign w:val="center"/>
          </w:tcPr>
          <w:p>
            <w:pPr>
              <w:rPr>
                <w:rFonts w:ascii="仿宋" w:hAnsi="仿宋" w:eastAsia="仿宋" w:cs="仿宋"/>
                <w:color w:val="000000"/>
                <w:sz w:val="24"/>
                <w:szCs w:val="24"/>
              </w:rPr>
            </w:pPr>
          </w:p>
        </w:tc>
        <w:tc>
          <w:tcPr>
            <w:tcW w:w="537"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警用视频</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监控系统</w:t>
            </w: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半球摄像机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海康威视</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DS-2CE56F5P-IT3</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240</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NVR</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海康威视</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DS-7808N-E2</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241</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运营视频摄像机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派尔高</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ICS150-CS3.6</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53</w:t>
            </w:r>
          </w:p>
        </w:tc>
        <w:tc>
          <w:tcPr>
            <w:tcW w:w="650" w:type="pc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提供设备在线巡检服务，不含设备维护维修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242</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前端设备箱</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定制</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设备箱</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243</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前端ODF</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清华同方</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12芯光纤熔配单元</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244</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光端机管理器</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清华同方</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光端机管理器</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245</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数字转换器</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信义</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PS-AM0408</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246</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硬盘录像机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海康威视</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DS-8816HE-E8</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247</w:t>
            </w:r>
          </w:p>
        </w:tc>
        <w:tc>
          <w:tcPr>
            <w:tcW w:w="440" w:type="pct"/>
            <w:vMerge w:val="continue"/>
            <w:vAlign w:val="center"/>
          </w:tcPr>
          <w:p>
            <w:pPr>
              <w:rPr>
                <w:rFonts w:ascii="仿宋" w:hAnsi="仿宋" w:eastAsia="仿宋" w:cs="仿宋"/>
                <w:color w:val="000000"/>
                <w:sz w:val="24"/>
                <w:szCs w:val="24"/>
              </w:rPr>
            </w:pPr>
          </w:p>
        </w:tc>
        <w:tc>
          <w:tcPr>
            <w:tcW w:w="537"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警用无线</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通信系统</w:t>
            </w: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无线基站</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海能达</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DS-6210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vMerge w:val="restar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提供设备巡检服务，不含设备维护维修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248</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固定台</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海能达</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MD780i</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vMerge w:val="continue"/>
            <w:vAlign w:val="center"/>
          </w:tcPr>
          <w:p>
            <w:pP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249</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无线信号巡检服务</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国产</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定制</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项</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250</w:t>
            </w:r>
          </w:p>
        </w:tc>
        <w:tc>
          <w:tcPr>
            <w:tcW w:w="440"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宝安中心站</w:t>
            </w:r>
          </w:p>
        </w:tc>
        <w:tc>
          <w:tcPr>
            <w:tcW w:w="537"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有线通信和</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信息网络系统</w:t>
            </w: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综合配线柜</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ZP-321-C2200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251</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100对接线排</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100对配线架</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252</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128对接线排</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128对配线架</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253</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柜用告警器</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GJ-GY</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254</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光配线架</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40口</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255</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光传输设备</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HONET-ONU</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256</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电话程控交换设备</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公务联络系统(EOW)</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257</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4口语音网关</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eSpace IAD104H</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258</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电话机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高科</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668</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259</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公安网接入交换机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S5731-H24T4XC</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260</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视频网接入交换机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S5720-56C-EI</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261</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无线网接入交换机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S5720-56PC-EI</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262</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72芯ODF配线架</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72芯光纤熔配单元</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263</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48芯ODF配线架</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48芯光纤熔配单元</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264</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交流配电设备</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南方自动化</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配电箱</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265</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UPS主机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梅兰日兰</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Galaxy 3000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266</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机房环境监控</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计通</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OAO-8100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267</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19"标准机柜</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国产</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42U机柜</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268</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计算机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联想</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扬天M4990C</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269</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综合布线</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定制</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信息点位</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项</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270</w:t>
            </w:r>
          </w:p>
        </w:tc>
        <w:tc>
          <w:tcPr>
            <w:tcW w:w="440" w:type="pct"/>
            <w:vMerge w:val="continue"/>
            <w:vAlign w:val="center"/>
          </w:tcPr>
          <w:p>
            <w:pPr>
              <w:rPr>
                <w:rFonts w:ascii="仿宋" w:hAnsi="仿宋" w:eastAsia="仿宋" w:cs="仿宋"/>
                <w:color w:val="000000"/>
                <w:sz w:val="24"/>
                <w:szCs w:val="24"/>
              </w:rPr>
            </w:pPr>
          </w:p>
        </w:tc>
        <w:tc>
          <w:tcPr>
            <w:tcW w:w="537"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警用视频</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监控系统</w:t>
            </w: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半球摄像机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海康威视</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DS-2CE56F5P-IT3</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271</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NVR</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海康威视</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DS-7808N-E2</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272</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运营视频摄像机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派尔高</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ICS150-CS3.6</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47</w:t>
            </w:r>
          </w:p>
        </w:tc>
        <w:tc>
          <w:tcPr>
            <w:tcW w:w="650" w:type="pc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提供设备在线巡检服务，不含设备维护维修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273</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前端设备箱</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定制</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设备箱</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274</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前端ODF</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清华同方</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12芯光纤熔配单元</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275</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光端机管理器</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清华同方</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光端机管理器</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276</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数字转换器</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信义</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PS-AM0408</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277</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硬盘录像机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海康威视</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DS-8816HE-E8</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278</w:t>
            </w:r>
          </w:p>
        </w:tc>
        <w:tc>
          <w:tcPr>
            <w:tcW w:w="440" w:type="pct"/>
            <w:vMerge w:val="continue"/>
            <w:vAlign w:val="center"/>
          </w:tcPr>
          <w:p>
            <w:pPr>
              <w:rPr>
                <w:rFonts w:ascii="仿宋" w:hAnsi="仿宋" w:eastAsia="仿宋" w:cs="仿宋"/>
                <w:color w:val="000000"/>
                <w:sz w:val="24"/>
                <w:szCs w:val="24"/>
              </w:rPr>
            </w:pPr>
          </w:p>
        </w:tc>
        <w:tc>
          <w:tcPr>
            <w:tcW w:w="537"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警用无线</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通信系统</w:t>
            </w: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无线基站</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海能达</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DS-6210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vMerge w:val="restar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提供设备巡检服务，不含设备维护维修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279</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固定台</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海能达</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MD780i</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vMerge w:val="continue"/>
            <w:vAlign w:val="center"/>
          </w:tcPr>
          <w:p>
            <w:pP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280</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无线信号巡检服务</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国产</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定制</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项</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281</w:t>
            </w:r>
          </w:p>
        </w:tc>
        <w:tc>
          <w:tcPr>
            <w:tcW w:w="440"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宝体站</w:t>
            </w:r>
          </w:p>
        </w:tc>
        <w:tc>
          <w:tcPr>
            <w:tcW w:w="537"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有线通信和</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信息网络系统</w:t>
            </w: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综合配线柜</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ZP-321-C2200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282</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100对接线排</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100对配线架</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283</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128对接线排</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128对配线架</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284</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柜用告警器</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GJ-GY</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285</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光配线架</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40口</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286</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光传输设备</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HONET-ONU</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287</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电话程控交换设备</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公务联络系统(EOW)</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288</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4口语音网关</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eSpace IAD104H</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289</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电话机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高科</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668</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290</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公安网接入交换机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S5731-H24T4XC</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291</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视频网接入交换机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S5720-56C-EI</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292</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无线网接入交换机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S5720-56PC-EI</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293</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72芯ODF配线架</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72芯光纤熔配单元</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294</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48芯ODF配线架</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48芯光纤熔配单元</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295</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交流配电设备</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南方自动化</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配电箱</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296</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UPS主机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梅兰日兰</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Galaxy 3000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297</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机房环境监控</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计通</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OAO-8100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298</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19"标准机柜</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国产</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42U机柜</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299</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计算机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联想</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扬天M4990C</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300</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综合布线</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定制</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信息点位</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项</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301</w:t>
            </w:r>
          </w:p>
        </w:tc>
        <w:tc>
          <w:tcPr>
            <w:tcW w:w="440" w:type="pct"/>
            <w:vMerge w:val="continue"/>
            <w:vAlign w:val="center"/>
          </w:tcPr>
          <w:p>
            <w:pPr>
              <w:rPr>
                <w:rFonts w:ascii="仿宋" w:hAnsi="仿宋" w:eastAsia="仿宋" w:cs="仿宋"/>
                <w:color w:val="000000"/>
                <w:sz w:val="24"/>
                <w:szCs w:val="24"/>
              </w:rPr>
            </w:pPr>
          </w:p>
        </w:tc>
        <w:tc>
          <w:tcPr>
            <w:tcW w:w="537"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警用视频</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监控系统</w:t>
            </w: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半球摄像机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海康威视</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DS-2CE56F5P-IT3</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302</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NVR</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海康威视</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DS-7808N-E2</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303</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运营视频摄像机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派尔高</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ICS150-CS3.6</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46</w:t>
            </w:r>
          </w:p>
        </w:tc>
        <w:tc>
          <w:tcPr>
            <w:tcW w:w="650" w:type="pc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提供设备在线巡检服务，不含设备维护维修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304</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前端设备箱</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定制</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设备箱</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305</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前端ODF</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清华同方</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12芯光纤熔配单元</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306</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光端机管理器</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清华同方</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光端机管理器</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307</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数字转换器</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信义</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PS-AM0408</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308</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硬盘录像机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海康威视</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DS-8816HE-E8</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309</w:t>
            </w:r>
          </w:p>
        </w:tc>
        <w:tc>
          <w:tcPr>
            <w:tcW w:w="440" w:type="pct"/>
            <w:vMerge w:val="continue"/>
            <w:vAlign w:val="center"/>
          </w:tcPr>
          <w:p>
            <w:pPr>
              <w:rPr>
                <w:rFonts w:ascii="仿宋" w:hAnsi="仿宋" w:eastAsia="仿宋" w:cs="仿宋"/>
                <w:color w:val="000000"/>
                <w:sz w:val="24"/>
                <w:szCs w:val="24"/>
              </w:rPr>
            </w:pPr>
          </w:p>
        </w:tc>
        <w:tc>
          <w:tcPr>
            <w:tcW w:w="537"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警用无线</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通信系统</w:t>
            </w: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无线基站</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海能达</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DS-6210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vMerge w:val="restar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提供设备巡检服务，不含设备维护维修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310</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固定台</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海能达</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MD780i</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vMerge w:val="continue"/>
            <w:vAlign w:val="center"/>
          </w:tcPr>
          <w:p>
            <w:pP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311</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无线信号巡检服务</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国产</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定制</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项</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312</w:t>
            </w:r>
          </w:p>
        </w:tc>
        <w:tc>
          <w:tcPr>
            <w:tcW w:w="440"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坪洲站</w:t>
            </w:r>
          </w:p>
        </w:tc>
        <w:tc>
          <w:tcPr>
            <w:tcW w:w="537"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有线通信和</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信息网络系统</w:t>
            </w: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综合配线柜</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ZP-321-C2200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313</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100对接线排</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100对配线架</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314</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128对接线排</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128对配线架</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315</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柜用告警器</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GJ-GY</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316</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光配线架</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40口</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317</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光传输设备</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HONET-ONU</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318</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电话程控交换设备</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公务联络系统(EOW)</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319</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4口语音网关</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eSpace IAD104H</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320</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电话机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高科</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668</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321</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公安网接入交换机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S5731-H24T4XC</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322</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视频网接入交换机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S5720-56C-EI</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323</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无线网接入交换机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S5720-56PC-EI</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324</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72芯ODF配线架</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72芯光纤熔配单元</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325</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48芯ODF配线架</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48芯光纤熔配单元</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326</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交流配电设备</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南方自动化</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配电箱</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327</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UPS主机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梅兰日兰</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Galaxy 3000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328</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机房环境监控</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计通</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OAO-8100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329</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19"标准机柜</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国产</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42U机柜</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330</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计算机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联想</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扬天M4990C</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331</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综合布线</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定制</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信息点位</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项</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332</w:t>
            </w:r>
          </w:p>
        </w:tc>
        <w:tc>
          <w:tcPr>
            <w:tcW w:w="440" w:type="pct"/>
            <w:vMerge w:val="continue"/>
            <w:vAlign w:val="center"/>
          </w:tcPr>
          <w:p>
            <w:pPr>
              <w:rPr>
                <w:rFonts w:ascii="仿宋" w:hAnsi="仿宋" w:eastAsia="仿宋" w:cs="仿宋"/>
                <w:color w:val="000000"/>
                <w:sz w:val="24"/>
                <w:szCs w:val="24"/>
              </w:rPr>
            </w:pPr>
          </w:p>
        </w:tc>
        <w:tc>
          <w:tcPr>
            <w:tcW w:w="537"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警用视频</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监控系统</w:t>
            </w: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半球摄像机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海康威视</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DS-2CE56F5P-IT3</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333</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NVR</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海康威视</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DS-7808N-E2</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334</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运营视频摄像机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派尔高</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ICS150-CS3.6</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43</w:t>
            </w:r>
          </w:p>
        </w:tc>
        <w:tc>
          <w:tcPr>
            <w:tcW w:w="650" w:type="pc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提供设备在线巡检服务，不含设备维护维修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335</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前端设备箱</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定制</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设备箱</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336</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前端ODF</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清华同方</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12芯光纤熔配单元</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337</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光端机管理器</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清华同方</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光端机管理器</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338</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数字转换器</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信义</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PS-AM0408</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339</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硬盘录像机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海康威视</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DS-8816HE-E8</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340</w:t>
            </w:r>
          </w:p>
        </w:tc>
        <w:tc>
          <w:tcPr>
            <w:tcW w:w="440" w:type="pct"/>
            <w:vMerge w:val="continue"/>
            <w:vAlign w:val="center"/>
          </w:tcPr>
          <w:p>
            <w:pPr>
              <w:rPr>
                <w:rFonts w:ascii="仿宋" w:hAnsi="仿宋" w:eastAsia="仿宋" w:cs="仿宋"/>
                <w:color w:val="000000"/>
                <w:sz w:val="24"/>
                <w:szCs w:val="24"/>
              </w:rPr>
            </w:pPr>
          </w:p>
        </w:tc>
        <w:tc>
          <w:tcPr>
            <w:tcW w:w="537"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警用无线</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通信系统</w:t>
            </w: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无线基站</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海能达</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DS-6210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vMerge w:val="restar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提供设备巡检服务，不含设备维护维修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341</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固定台</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海能达</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MD780i</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vMerge w:val="continue"/>
            <w:vAlign w:val="center"/>
          </w:tcPr>
          <w:p>
            <w:pP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342</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无线信号巡检服务</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国产</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定制</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项</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343</w:t>
            </w:r>
          </w:p>
        </w:tc>
        <w:tc>
          <w:tcPr>
            <w:tcW w:w="440"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西乡站</w:t>
            </w:r>
          </w:p>
        </w:tc>
        <w:tc>
          <w:tcPr>
            <w:tcW w:w="537"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有线通信和</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信息网络系统</w:t>
            </w: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综合配线柜</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ZP-321-C2200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344</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100对接线排</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100对配线架</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345</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128对接线排</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128对配线架</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346</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柜用告警器</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GJ-GY</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347</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光配线架</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40口</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348</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光传输设备</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HONET-ONU</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349</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电话程控交换设备</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公务联络系统(EOW)</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350</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4口语音网关</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eSpace IAD104H</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351</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电话机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高科</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668</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352</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公安网接入交换机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S5731-H24T4XC</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353</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视频网接入交换机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S5720-56C-EI</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354</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无线网接入交换机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S5720-56PC-EI</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355</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72芯ODF配线架</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72芯光纤熔配单元</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356</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48芯ODF配线架</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48芯光纤熔配单元</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357</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交流配电设备</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南方自动化</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配电箱</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358</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UPS主机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梅兰日兰</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Galaxy 3000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359</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机房环境监控</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计通</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OAO-8100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360</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19"标准机柜</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国产</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42U机柜</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361</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计算机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联想</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扬天M4990C</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362</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综合布线</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定制</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信息点位</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项</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363</w:t>
            </w:r>
          </w:p>
        </w:tc>
        <w:tc>
          <w:tcPr>
            <w:tcW w:w="440" w:type="pct"/>
            <w:vMerge w:val="continue"/>
            <w:vAlign w:val="center"/>
          </w:tcPr>
          <w:p>
            <w:pPr>
              <w:rPr>
                <w:rFonts w:ascii="仿宋" w:hAnsi="仿宋" w:eastAsia="仿宋" w:cs="仿宋"/>
                <w:color w:val="000000"/>
                <w:sz w:val="24"/>
                <w:szCs w:val="24"/>
              </w:rPr>
            </w:pPr>
          </w:p>
        </w:tc>
        <w:tc>
          <w:tcPr>
            <w:tcW w:w="537"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警用视频</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监控系统</w:t>
            </w: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半球摄像机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海康威视</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DS-2CE56F5P-IT3</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364</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NVR</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海康威视</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DS-7808N-E2</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365</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运营视频摄像机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派尔高</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ICS150-CS3.6</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64</w:t>
            </w:r>
          </w:p>
        </w:tc>
        <w:tc>
          <w:tcPr>
            <w:tcW w:w="650" w:type="pc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提供设备在线巡检服务，不含设备维护维修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366</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前端设备箱</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定制</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设备箱</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367</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前端ODF</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清华同方</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12芯光纤熔配单元</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368</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光端机管理器</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清华同方</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光端机管理器</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369</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数字转换器</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信义</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PS-AM0408</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370</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硬盘录像机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海康威视</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DS-8816HE-E8</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371</w:t>
            </w:r>
          </w:p>
        </w:tc>
        <w:tc>
          <w:tcPr>
            <w:tcW w:w="440" w:type="pct"/>
            <w:vMerge w:val="continue"/>
            <w:vAlign w:val="center"/>
          </w:tcPr>
          <w:p>
            <w:pPr>
              <w:rPr>
                <w:rFonts w:ascii="仿宋" w:hAnsi="仿宋" w:eastAsia="仿宋" w:cs="仿宋"/>
                <w:color w:val="000000"/>
                <w:sz w:val="24"/>
                <w:szCs w:val="24"/>
              </w:rPr>
            </w:pPr>
          </w:p>
        </w:tc>
        <w:tc>
          <w:tcPr>
            <w:tcW w:w="537"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警用无线</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通信系统</w:t>
            </w: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无线基站</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海能达</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DS-6210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vMerge w:val="restar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提供设备巡检服务，不含设备维护维修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372</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固定台</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海能达</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MD780i</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vMerge w:val="continue"/>
            <w:vAlign w:val="center"/>
          </w:tcPr>
          <w:p>
            <w:pP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373</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无线信号巡检服务</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国产</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定制</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项</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374</w:t>
            </w:r>
          </w:p>
        </w:tc>
        <w:tc>
          <w:tcPr>
            <w:tcW w:w="440"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固戍站</w:t>
            </w:r>
          </w:p>
        </w:tc>
        <w:tc>
          <w:tcPr>
            <w:tcW w:w="537"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有线通信和</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信息网络系统</w:t>
            </w: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综合配线柜</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ZP-321-C2200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375</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100对接线排</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100对配线架</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376</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128对接线排</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128对配线架</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377</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柜用告警器</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GJ-GY</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378</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光配线架</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40口</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379</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光传输设备</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HONET-ONU</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380</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电话程控交换设备</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公务联络系统(EOW)</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381</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4口语音网关</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eSpace IAD104H</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382</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电话机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高科</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668</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383</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公安网接入交换机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S5731-H24T4XC</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384</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视频网接入交换机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S5720-56C-EI</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385</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无线网接入交换机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S5720-56PC-EI</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386</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72芯ODF配线架</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72芯光纤熔配单元</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387</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48芯ODF配线架</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48芯光纤熔配单元</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388</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交流配电设备</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南方自动化</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配电箱</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389</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UPS主机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梅兰日兰</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Galaxy 3000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390</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机房环境监控</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计通</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OAO-8100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391</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19"标准机柜</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国产</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42U机柜</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392</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计算机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联想</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扬天M4990C</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393</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综合布线</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定制</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信息点位</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项</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394</w:t>
            </w:r>
          </w:p>
        </w:tc>
        <w:tc>
          <w:tcPr>
            <w:tcW w:w="440" w:type="pct"/>
            <w:vMerge w:val="continue"/>
            <w:vAlign w:val="center"/>
          </w:tcPr>
          <w:p>
            <w:pPr>
              <w:rPr>
                <w:rFonts w:ascii="仿宋" w:hAnsi="仿宋" w:eastAsia="仿宋" w:cs="仿宋"/>
                <w:color w:val="000000"/>
                <w:sz w:val="24"/>
                <w:szCs w:val="24"/>
              </w:rPr>
            </w:pPr>
          </w:p>
        </w:tc>
        <w:tc>
          <w:tcPr>
            <w:tcW w:w="537"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警用视频</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监控系统</w:t>
            </w: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半球摄像机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海康威视</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DS-2CE56F5P-IT3</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395</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NVR</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海康威视</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DS-7808N-E2</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396</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运营视频摄像机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派尔高</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ICS150-CS3.6</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77</w:t>
            </w:r>
          </w:p>
        </w:tc>
        <w:tc>
          <w:tcPr>
            <w:tcW w:w="650" w:type="pc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提供设备在线巡检服务，不含设备维护维修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397</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前端设备箱</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定制</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设备箱</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5</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398</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前端ODF</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清华同方</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12芯光纤熔配单元</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399</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光端机管理器</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清华同方</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光端机管理器</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400</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数字转换器</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信义</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PS-AM0408</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401</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硬盘录像机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海康威视</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DS-8816HE-E8</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402</w:t>
            </w:r>
          </w:p>
        </w:tc>
        <w:tc>
          <w:tcPr>
            <w:tcW w:w="440" w:type="pct"/>
            <w:vMerge w:val="continue"/>
            <w:vAlign w:val="center"/>
          </w:tcPr>
          <w:p>
            <w:pPr>
              <w:rPr>
                <w:rFonts w:ascii="仿宋" w:hAnsi="仿宋" w:eastAsia="仿宋" w:cs="仿宋"/>
                <w:color w:val="000000"/>
                <w:sz w:val="24"/>
                <w:szCs w:val="24"/>
              </w:rPr>
            </w:pPr>
          </w:p>
        </w:tc>
        <w:tc>
          <w:tcPr>
            <w:tcW w:w="537"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警用无线</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通信系统</w:t>
            </w: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无线基站</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海能达</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DS-6210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vMerge w:val="restar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提供设备巡检服务，不含设备维护维修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403</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固定台</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海能达</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MD780i</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vMerge w:val="continue"/>
            <w:vAlign w:val="center"/>
          </w:tcPr>
          <w:p>
            <w:pP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404</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无线信号巡检服务</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国产</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定制</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项</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405</w:t>
            </w:r>
          </w:p>
        </w:tc>
        <w:tc>
          <w:tcPr>
            <w:tcW w:w="440"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后瑞站</w:t>
            </w:r>
          </w:p>
        </w:tc>
        <w:tc>
          <w:tcPr>
            <w:tcW w:w="537"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有线通信和</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信息网络系统</w:t>
            </w: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综合配线柜</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ZP-321-C2200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406</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100对接线排</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100对配线架</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407</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128对接线排</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128对配线架</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408</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柜用告警器</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GJ-GY</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409</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光配线架</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40口</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410</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光传输设备</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HONET-ONU</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411</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电话程控交换设备</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公务联络系统(EOW)</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412</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4口语音网关</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eSpace IAD104H</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413</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电话机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高科</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668</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414</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公安网接入交换机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S5731-H24T4XC</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415</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视频网接入交换机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S5720-56C-EI</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416</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无线网接入交换机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S5720-56PC-EI</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417</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72芯ODF配线架</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72芯光纤熔配单元</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418</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48芯ODF配线架</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48芯光纤熔配单元</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419</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交流配电设备</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南方自动化</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配电箱</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420</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UPS主机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梅兰日兰</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Galaxy 3000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421</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机房环境监控</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计通</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OAO-8100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422</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19"标准机柜</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国产</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42U机柜</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423</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计算机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联想</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扬天M4990C</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424</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综合布线</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定制</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信息点位</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项</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425</w:t>
            </w:r>
          </w:p>
        </w:tc>
        <w:tc>
          <w:tcPr>
            <w:tcW w:w="440" w:type="pct"/>
            <w:vMerge w:val="continue"/>
            <w:vAlign w:val="center"/>
          </w:tcPr>
          <w:p>
            <w:pPr>
              <w:rPr>
                <w:rFonts w:ascii="仿宋" w:hAnsi="仿宋" w:eastAsia="仿宋" w:cs="仿宋"/>
                <w:color w:val="000000"/>
                <w:sz w:val="24"/>
                <w:szCs w:val="24"/>
              </w:rPr>
            </w:pPr>
          </w:p>
        </w:tc>
        <w:tc>
          <w:tcPr>
            <w:tcW w:w="537"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警用视频</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监控系统</w:t>
            </w: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半球摄像机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海康威视</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DS-2CE56F5P-IT3</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426</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NVR</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海康威视</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DS-7808N-E2</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427</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运营视频摄像机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派尔高</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ICS150-CS3.6</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44</w:t>
            </w:r>
          </w:p>
        </w:tc>
        <w:tc>
          <w:tcPr>
            <w:tcW w:w="650" w:type="pc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提供设备在线巡检服务，不含设备维护维修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428</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前端设备箱</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定制</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设备箱</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429</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前端ODF</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清华同方</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12芯光纤熔配单元</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430</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光端机管理器</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清华同方</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光端机管理器</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431</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数字转换器</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信义</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PS-AM0408</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432</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硬盘录像机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海康威视</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DS-8816HE-E8</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433</w:t>
            </w:r>
          </w:p>
        </w:tc>
        <w:tc>
          <w:tcPr>
            <w:tcW w:w="440" w:type="pct"/>
            <w:vMerge w:val="continue"/>
            <w:vAlign w:val="center"/>
          </w:tcPr>
          <w:p>
            <w:pPr>
              <w:rPr>
                <w:rFonts w:ascii="仿宋" w:hAnsi="仿宋" w:eastAsia="仿宋" w:cs="仿宋"/>
                <w:color w:val="000000"/>
                <w:sz w:val="24"/>
                <w:szCs w:val="24"/>
              </w:rPr>
            </w:pPr>
          </w:p>
        </w:tc>
        <w:tc>
          <w:tcPr>
            <w:tcW w:w="537"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警用无线</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通信系统</w:t>
            </w: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无线基站</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海能达</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DS-6210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vMerge w:val="restar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提供设备巡检服务，不含设备维护维修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434</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固定台</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海能达</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MD780i</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vMerge w:val="continue"/>
            <w:vAlign w:val="center"/>
          </w:tcPr>
          <w:p>
            <w:pP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435</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无线信号巡检服务</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国产</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定制</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项</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436</w:t>
            </w:r>
          </w:p>
        </w:tc>
        <w:tc>
          <w:tcPr>
            <w:tcW w:w="440"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机场东站</w:t>
            </w:r>
          </w:p>
        </w:tc>
        <w:tc>
          <w:tcPr>
            <w:tcW w:w="537"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有线通信和</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信息网络系统</w:t>
            </w: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综合配线柜</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ZP-321-C2200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437</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100对接线排</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100对配线架</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438</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128对接线排</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128对配线架</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439</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柜用告警器</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GJ-GY</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440</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光配线架</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40口</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441</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光传输设备</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HONET-ONU</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442</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电话程控交换设备</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公务联络系统(EOW)</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443</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4口语音网关</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eSpace IAD104H</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444</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电话机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高科</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668</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445</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公安网接入交换机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S5731-H24T4XC</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446</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视频网接入交换机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S5720-56C-EI</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447</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无线网接入交换机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S5720-56PC-EI</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448</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72芯ODF配线架</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72芯光纤熔配单元</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449</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48芯ODF配线架</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华为</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48芯光纤熔配单元</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450</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交流配电设备</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南方自动化</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配电箱</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451</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UPS主机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梅兰日兰</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Galaxy 3000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452</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机房环境监控</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计通</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OAO-8100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453</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19"标准机柜</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国产</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42U机柜</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454</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计算机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联想</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扬天M4990C</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455</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综合布线</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定制</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信息点位</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项</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456</w:t>
            </w:r>
          </w:p>
        </w:tc>
        <w:tc>
          <w:tcPr>
            <w:tcW w:w="440" w:type="pct"/>
            <w:vMerge w:val="continue"/>
            <w:vAlign w:val="center"/>
          </w:tcPr>
          <w:p>
            <w:pPr>
              <w:rPr>
                <w:rFonts w:ascii="仿宋" w:hAnsi="仿宋" w:eastAsia="仿宋" w:cs="仿宋"/>
                <w:color w:val="000000"/>
                <w:sz w:val="24"/>
                <w:szCs w:val="24"/>
              </w:rPr>
            </w:pPr>
          </w:p>
        </w:tc>
        <w:tc>
          <w:tcPr>
            <w:tcW w:w="537"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警用视频</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监控系统</w:t>
            </w: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半球摄像机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海康威视</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DS-2CE56F5P-IT3</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6</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457</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NVR</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海康威视</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DS-7808N-E2</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458</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运营视频摄像机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派尔高</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ICS150-CS3.6</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47</w:t>
            </w:r>
          </w:p>
        </w:tc>
        <w:tc>
          <w:tcPr>
            <w:tcW w:w="650" w:type="pc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提供设备在线巡检服务，不含设备维护维修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459</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前端设备箱</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定制</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设备箱</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460</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前端ODF</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清华同方</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12芯光纤熔配单元</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461</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光端机管理器</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清华同方</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光端机管理器</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462</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数字转换器</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信义</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PS-AM0408</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463</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硬盘录像机</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海康威视</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DS-8816HE-E8</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464</w:t>
            </w:r>
          </w:p>
        </w:tc>
        <w:tc>
          <w:tcPr>
            <w:tcW w:w="440" w:type="pct"/>
            <w:vMerge w:val="continue"/>
            <w:vAlign w:val="center"/>
          </w:tcPr>
          <w:p>
            <w:pPr>
              <w:rPr>
                <w:rFonts w:ascii="仿宋" w:hAnsi="仿宋" w:eastAsia="仿宋" w:cs="仿宋"/>
                <w:color w:val="000000"/>
                <w:sz w:val="24"/>
                <w:szCs w:val="24"/>
              </w:rPr>
            </w:pPr>
          </w:p>
        </w:tc>
        <w:tc>
          <w:tcPr>
            <w:tcW w:w="537"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警用无线</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通信系统</w:t>
            </w: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无线基站</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海能达</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DS-6210</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套</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vMerge w:val="restart"/>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提供设备巡检服务，不含设备维护维修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465</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固定台</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海能达</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MD780i</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台</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vMerge w:val="continue"/>
            <w:vAlign w:val="center"/>
          </w:tcPr>
          <w:p>
            <w:pP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466</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无线信号巡检服务</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国产</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定制</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项</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467</w:t>
            </w:r>
          </w:p>
        </w:tc>
        <w:tc>
          <w:tcPr>
            <w:tcW w:w="440"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轨行区</w:t>
            </w:r>
          </w:p>
        </w:tc>
        <w:tc>
          <w:tcPr>
            <w:tcW w:w="537" w:type="pct"/>
            <w:vMerge w:val="restar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警用光缆工程</w:t>
            </w: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48芯光缆</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汉胜</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GYTZA53-48B1</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米</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51390</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468</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72芯光缆</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汉胜</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GYTZA53-72B1</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米</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1009</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469</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漏缆</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汉胜</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RMC50LM-158</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千米</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44.1</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470</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7/8"同轴电缆</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汉胜</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RM5078</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米</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5500</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471</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1/2"同轴电缆</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汉胜</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RM5012</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米</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500</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472</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7/8"射频电缆</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汉胜</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RF-5078</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米</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4500</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473</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1/2"射频电缆</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汉胜</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RF-5012</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米</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300</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4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474</w:t>
            </w:r>
          </w:p>
        </w:tc>
        <w:tc>
          <w:tcPr>
            <w:tcW w:w="440" w:type="pct"/>
            <w:vMerge w:val="continue"/>
            <w:vAlign w:val="center"/>
          </w:tcPr>
          <w:p>
            <w:pPr>
              <w:rPr>
                <w:rFonts w:ascii="仿宋" w:hAnsi="仿宋" w:eastAsia="仿宋" w:cs="仿宋"/>
                <w:color w:val="000000"/>
                <w:sz w:val="24"/>
                <w:szCs w:val="24"/>
              </w:rPr>
            </w:pPr>
          </w:p>
        </w:tc>
        <w:tc>
          <w:tcPr>
            <w:tcW w:w="537" w:type="pct"/>
            <w:vMerge w:val="continue"/>
            <w:vAlign w:val="center"/>
          </w:tcPr>
          <w:p>
            <w:pPr>
              <w:rPr>
                <w:rFonts w:ascii="仿宋" w:hAnsi="仿宋" w:eastAsia="仿宋" w:cs="仿宋"/>
                <w:color w:val="000000"/>
                <w:sz w:val="24"/>
                <w:szCs w:val="24"/>
              </w:rPr>
            </w:pPr>
          </w:p>
        </w:tc>
        <w:tc>
          <w:tcPr>
            <w:tcW w:w="109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1-1/4"漏缆</w:t>
            </w:r>
          </w:p>
        </w:tc>
        <w:tc>
          <w:tcPr>
            <w:tcW w:w="405"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汉胜</w:t>
            </w:r>
          </w:p>
        </w:tc>
        <w:tc>
          <w:tcPr>
            <w:tcW w:w="8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RMC-50LM-114-02</w:t>
            </w:r>
          </w:p>
        </w:tc>
        <w:tc>
          <w:tcPr>
            <w:tcW w:w="36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千米</w:t>
            </w:r>
          </w:p>
        </w:tc>
        <w:tc>
          <w:tcPr>
            <w:tcW w:w="321"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13</w:t>
            </w:r>
          </w:p>
        </w:tc>
        <w:tc>
          <w:tcPr>
            <w:tcW w:w="650" w:type="pct"/>
            <w:shd w:val="clear" w:color="auto" w:fill="auto"/>
            <w:noWrap/>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　</w:t>
            </w:r>
          </w:p>
        </w:tc>
      </w:tr>
    </w:tbl>
    <w:p>
      <w:pPr>
        <w:spacing w:line="360" w:lineRule="auto"/>
        <w:ind w:firstLine="482" w:firstLineChars="200"/>
        <w:rPr>
          <w:rFonts w:ascii="仿宋" w:hAnsi="仿宋" w:eastAsia="仿宋" w:cs="仿宋"/>
          <w:b/>
          <w:bCs/>
          <w:color w:val="000000"/>
          <w:sz w:val="24"/>
          <w:szCs w:val="24"/>
        </w:rPr>
      </w:pPr>
    </w:p>
    <w:p>
      <w:pPr>
        <w:spacing w:line="360" w:lineRule="auto"/>
        <w:rPr>
          <w:rFonts w:ascii="仿宋" w:hAnsi="仿宋" w:eastAsia="仿宋" w:cs="仿宋"/>
          <w:b/>
          <w:bCs/>
          <w:color w:val="000000"/>
          <w:sz w:val="24"/>
          <w:szCs w:val="24"/>
        </w:rPr>
      </w:pPr>
      <w:r>
        <w:rPr>
          <w:rFonts w:hint="eastAsia" w:ascii="仿宋" w:hAnsi="仿宋" w:eastAsia="仿宋" w:cs="仿宋"/>
          <w:b/>
          <w:bCs/>
          <w:color w:val="000000"/>
          <w:sz w:val="24"/>
          <w:szCs w:val="24"/>
        </w:rPr>
        <w:t>（二）维护管理需求</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为保证地铁1号线西段警用通信系统运维项目能够发挥出应有的效益，更好的为深圳轨道交通服务，对中标人提出以下要求：</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1.中标人应在深圳市内设置本地维护部门（单位），并拥有自己的办公地点。</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2.中标人应提供7*24小时人工运维服务台（设立值班电话）和值守服务，当任何时间有维护任务或需求时，能第一时间联系到相关责任人。</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故障响应服务：工作期间接到报障后10分钟内响应，通过服务台生成或受理事件并指派维护工程师开展维护工作；非工作期间，维护工程师在2小时内携带工具及有效备件等赶赴指定现场排障；在设备出现6小时内无法恢复的严重故障情况下，须采取应急措施或提供替代设备，保证在12小时内使业务系统恢复正常；排障成功，设备、系统恢复正常运行后，于3日内提交书面故障报告，报告内容应至少包括故障现象、原因，处理方法、配置变更内容、处理结果、可能存在的隐患以及今后避免问题的具体措施等。</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4.重大任务保障服务：遇敏感时期、重大保障任务及节假日期间，提前1周时间对所维护内容进行巡检，并提交巡检及风险评估报告；同时，应安排专人现场值守，并在人员、设备等各方面提供无条件支持。</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5.运维质量分析服务：每季度组织应召开一次运维质量分析例会，并提出工作意见和建议。</w:t>
      </w:r>
    </w:p>
    <w:p>
      <w:pPr>
        <w:spacing w:line="360" w:lineRule="auto"/>
        <w:ind w:firstLine="482" w:firstLineChars="200"/>
        <w:rPr>
          <w:rFonts w:ascii="仿宋" w:hAnsi="仿宋" w:eastAsia="仿宋" w:cs="仿宋"/>
          <w:color w:val="000000"/>
          <w:sz w:val="24"/>
          <w:szCs w:val="24"/>
        </w:rPr>
      </w:pPr>
      <w:r>
        <w:rPr>
          <w:rFonts w:hint="eastAsia" w:ascii="仿宋" w:hAnsi="仿宋" w:eastAsia="仿宋" w:cs="仿宋"/>
          <w:b/>
          <w:bCs/>
          <w:sz w:val="24"/>
          <w:szCs w:val="24"/>
        </w:rPr>
        <w:t>★</w:t>
      </w:r>
      <w:r>
        <w:rPr>
          <w:rFonts w:hint="eastAsia" w:ascii="仿宋" w:hAnsi="仿宋" w:eastAsia="仿宋" w:cs="仿宋"/>
          <w:b/>
          <w:bCs/>
          <w:color w:val="000000"/>
          <w:sz w:val="24"/>
          <w:szCs w:val="24"/>
        </w:rPr>
        <w:t>6.备件服务：</w:t>
      </w:r>
      <w:r>
        <w:rPr>
          <w:rFonts w:hint="eastAsia" w:ascii="仿宋" w:hAnsi="仿宋" w:eastAsia="仿宋" w:cs="仿宋"/>
          <w:color w:val="000000"/>
          <w:sz w:val="24"/>
          <w:szCs w:val="24"/>
        </w:rPr>
        <w:t>中标人应根据本项目维护范围提供充足备品备件，保障常用备件损坏可以立即更换。备品备件采购金额不少于合同金额的20%</w:t>
      </w:r>
      <w:r>
        <w:rPr>
          <w:rFonts w:hint="eastAsia" w:ascii="仿宋" w:hAnsi="仿宋" w:eastAsia="仿宋" w:cs="仿宋"/>
          <w:sz w:val="24"/>
          <w:szCs w:val="24"/>
        </w:rPr>
        <w:t>。</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7.技术支持服务：</w:t>
      </w:r>
    </w:p>
    <w:p>
      <w:pPr>
        <w:spacing w:line="360" w:lineRule="auto"/>
        <w:ind w:firstLine="720" w:firstLineChars="300"/>
        <w:rPr>
          <w:rFonts w:ascii="仿宋" w:hAnsi="仿宋" w:eastAsia="仿宋" w:cs="仿宋"/>
          <w:color w:val="000000"/>
          <w:sz w:val="24"/>
          <w:szCs w:val="24"/>
        </w:rPr>
      </w:pPr>
      <w:r>
        <w:rPr>
          <w:rFonts w:hint="eastAsia" w:ascii="仿宋" w:hAnsi="仿宋" w:eastAsia="仿宋" w:cs="仿宋"/>
          <w:color w:val="000000"/>
          <w:sz w:val="24"/>
          <w:szCs w:val="24"/>
        </w:rPr>
        <w:t>1）于每年8月底前提交下一年度需增加或更新设备计划。</w:t>
      </w:r>
    </w:p>
    <w:p>
      <w:pPr>
        <w:spacing w:line="360" w:lineRule="auto"/>
        <w:ind w:firstLine="720" w:firstLineChars="300"/>
        <w:rPr>
          <w:rFonts w:ascii="仿宋" w:hAnsi="仿宋" w:eastAsia="仿宋" w:cs="仿宋"/>
          <w:color w:val="000000"/>
          <w:sz w:val="24"/>
          <w:szCs w:val="24"/>
        </w:rPr>
      </w:pPr>
      <w:r>
        <w:rPr>
          <w:rFonts w:hint="eastAsia" w:ascii="仿宋" w:hAnsi="仿宋" w:eastAsia="仿宋" w:cs="仿宋"/>
          <w:color w:val="000000"/>
          <w:sz w:val="24"/>
          <w:szCs w:val="24"/>
        </w:rPr>
        <w:t>2）组织开展相关新技术交流不少于6次。</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8.中标人每月应组织一次运维工作例会，对当月运维工作开展情况进行总结。</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9.中标人应配备必要的交通工具，以保障本项目范围内各地铁站警用机房及设备巡检及抢修工作正常开展。</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10.保密：中标人参与本项目的人员负有保密义务，应严格遵守各项保密规定，未经授权，不得接触与公安业务相关的信息数据，不能擅自拷贝任何文件和数据并携带出工作区域。</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11.按时完成领导及管理人员交办的各项工作任务。</w:t>
      </w:r>
    </w:p>
    <w:p>
      <w:pPr>
        <w:spacing w:line="360" w:lineRule="auto"/>
        <w:ind w:firstLine="480" w:firstLineChars="200"/>
        <w:rPr>
          <w:rFonts w:ascii="仿宋" w:hAnsi="仿宋" w:eastAsia="仿宋" w:cs="仿宋"/>
          <w:color w:val="000000"/>
          <w:sz w:val="24"/>
          <w:szCs w:val="24"/>
        </w:rPr>
      </w:pPr>
    </w:p>
    <w:p>
      <w:pPr>
        <w:spacing w:line="360" w:lineRule="auto"/>
        <w:rPr>
          <w:rFonts w:ascii="仿宋" w:hAnsi="仿宋" w:eastAsia="仿宋" w:cs="仿宋"/>
          <w:b/>
          <w:bCs/>
          <w:color w:val="000000"/>
          <w:sz w:val="24"/>
          <w:szCs w:val="24"/>
        </w:rPr>
      </w:pPr>
      <w:r>
        <w:rPr>
          <w:rFonts w:hint="eastAsia" w:ascii="仿宋" w:hAnsi="仿宋" w:eastAsia="仿宋" w:cs="仿宋"/>
          <w:b/>
          <w:bCs/>
          <w:color w:val="000000"/>
          <w:sz w:val="24"/>
          <w:szCs w:val="24"/>
        </w:rPr>
        <w:t>（三）维护人员需求</w:t>
      </w:r>
    </w:p>
    <w:p>
      <w:pPr>
        <w:adjustRightInd w:val="0"/>
        <w:spacing w:line="360" w:lineRule="auto"/>
        <w:ind w:firstLine="480" w:firstLineChars="200"/>
        <w:contextualSpacing/>
        <w:rPr>
          <w:rFonts w:ascii="仿宋" w:hAnsi="仿宋" w:eastAsia="仿宋" w:cs="仿宋"/>
          <w:b/>
          <w:sz w:val="24"/>
          <w:szCs w:val="24"/>
        </w:rPr>
      </w:pPr>
      <w:r>
        <w:rPr>
          <w:rFonts w:hint="eastAsia" w:ascii="仿宋" w:hAnsi="仿宋" w:eastAsia="仿宋" w:cs="仿宋"/>
          <w:sz w:val="24"/>
          <w:szCs w:val="24"/>
        </w:rPr>
        <w:t>★</w:t>
      </w:r>
      <w:r>
        <w:rPr>
          <w:rFonts w:hint="eastAsia" w:ascii="仿宋" w:hAnsi="仿宋" w:eastAsia="仿宋" w:cs="仿宋"/>
          <w:b/>
          <w:bCs/>
          <w:color w:val="000000"/>
          <w:sz w:val="24"/>
          <w:szCs w:val="24"/>
        </w:rPr>
        <w:t>1.</w:t>
      </w:r>
      <w:r>
        <w:rPr>
          <w:rFonts w:hint="eastAsia" w:ascii="仿宋" w:hAnsi="仿宋" w:eastAsia="仿宋" w:cs="仿宋"/>
          <w:b/>
          <w:sz w:val="24"/>
          <w:szCs w:val="24"/>
        </w:rPr>
        <w:t>人员配置要求：</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1.1总人数要求：不少于6人。</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1.2各系统维护人员要求：</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1.2.1有线通信和信息网络系统：针对该系统提供7*24小时免费保修服务，并按要求配备不少于2名专业人员成立维护小组。</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1.2.2警用视频监控系统：针对该系统提供7*24小时免费保修服务，并按要求配备不少于2名专业人员成立维护小组。</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1.2.3警用无线通信系统：针对该系统提供7*24小时免费保修服务，并按要求配备不少于2名专业人员成立维护小组。</w:t>
      </w:r>
    </w:p>
    <w:p>
      <w:pPr>
        <w:spacing w:line="360" w:lineRule="auto"/>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2.人员基本需求：</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2.1在维护服务期间，维护人员必须认真、负责、及时，精神饱满且服务态度友好，能积极主动为采购人着想。严格遵守采购人的各项管理规章制度、规定和要求，服从采购人的工作岗位安排，办公区域内工作时统一着装，佩带采购人提供的工作证。</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2.2中标人派驻维护人员到采购人现场维护，遵守采购人所提出的服务标准和管理要求，听从指挥，服从任务安排，及时有效的解决各种故障，按要求认真详实填报有关维护资料。</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2.3中标人须确保常驻维护人员符合采购人要求的专业技术水平及工作经验，保证至少每月组织维护人员进行专业技术、服务技能和采购人应用系统的学习培训。在未经采购人管理人员同意情况下，常驻维护人员不能在工作时间内做采购人以外的维护工作。如发现工作上有弄虚作假情况，或不符合采购人管理要求者，采购人有权做出相应处理，直至终止合同并追究投标人相应责任。</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2.4如确有需要更换已有常驻维护人员，中标人必须在调换前向采购人提交书面申请，并按照每调整一名维护人员，中标人应向采购人提供至少两名预备替换维护人员供选择，经采购人同意后，方可对维护人员进行调整。中标人所调换的维护人员应符合本招标书中的人员要求。如上述人员更换影响采购人相关设备的维护工作，采购人将有权按合同违约责任条款处理。</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2.5在工作期间，因维护人员发生安全问题（如擅自安装或拆卸计算机设备、随意带非采购人人员或物品进出办公区域、有意或无意泄露采购人保密文件等情况），采购人有权做出相应处理，包括追究中标人及当事人的相关法律责任直至终止合同。</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2.6中标人应承担保密义务，并采取有效预防措施，防止中标人维护人员在合同执行期间将掌握的任何有关采购人的机密或专有信息透露给任何未经授权人。</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2.7维护服务期内，工作时间，中标人所有派驻维护人员必须常驻采购人指定办公区域执行维护工作。</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2.8中标人维护人员必须服从采购人的工作安排和管理，做到24小时备勤及24小时电话保障。</w:t>
      </w:r>
    </w:p>
    <w:p>
      <w:pPr>
        <w:spacing w:line="360" w:lineRule="auto"/>
        <w:ind w:firstLine="482" w:firstLineChars="200"/>
        <w:rPr>
          <w:rFonts w:ascii="仿宋" w:hAnsi="仿宋" w:eastAsia="仿宋" w:cs="仿宋"/>
          <w:b/>
          <w:bCs/>
          <w:color w:val="000000"/>
          <w:sz w:val="24"/>
          <w:szCs w:val="24"/>
        </w:rPr>
      </w:pPr>
    </w:p>
    <w:p>
      <w:pPr>
        <w:spacing w:line="360" w:lineRule="auto"/>
        <w:rPr>
          <w:rFonts w:ascii="仿宋" w:hAnsi="仿宋" w:eastAsia="仿宋" w:cs="仿宋"/>
          <w:b/>
          <w:bCs/>
          <w:color w:val="000000"/>
          <w:sz w:val="24"/>
          <w:szCs w:val="24"/>
        </w:rPr>
      </w:pPr>
      <w:r>
        <w:rPr>
          <w:rFonts w:hint="eastAsia" w:ascii="仿宋" w:hAnsi="仿宋" w:eastAsia="仿宋" w:cs="仿宋"/>
          <w:b/>
          <w:bCs/>
          <w:color w:val="000000"/>
          <w:sz w:val="24"/>
          <w:szCs w:val="24"/>
        </w:rPr>
        <w:t>（四）文档要求</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中标人应向采购人提交以下文档资料：</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1.每个季度提交1份纸质维护报表。</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2.每年提交1份年度维护报表以及年度维护总结，并需要对备件库中的备件进行单独说明。</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3.下一年度维护计划以及所补备品备件清单。</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对于日常维护还需提供以下报告清单：</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3.1日巡检报告（电子工单）：包括巡检时间、人员、设备运行主要参数、设备运行状况。</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3.2其他例行维护工作工单（电子工单或纸制）。根各工单类型定制。</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3.3月运维报告（纸制报告，要求公司盖章）：包括设备巡检情况、故障处理情况、下一步工作建议。</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3.4季度运维质量分析报告（纸制报告，公司盖章）：包括设备性能情况、构成问题的事件分析、改进方案等。</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3.5半年运维工作总结（纸制报告，公司盖章）：包括设备运行情况、故障处理情况、例行工作执行情况、下一步工作思路和工作建议等。</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3.6年度运维工作总结（纸制报告，公司盖章）：包括设备运行情况、故障处理情况、例行工作执行情况、下一步工作思路和工作建议等。</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3.7故障处理报告（电子工单或纸制报告）：包括受理时间、维护人员、故障现象、原因分析、处理方法等。</w:t>
      </w:r>
    </w:p>
    <w:p>
      <w:pPr>
        <w:spacing w:line="360" w:lineRule="auto"/>
        <w:ind w:firstLine="480" w:firstLineChars="200"/>
        <w:rPr>
          <w:rFonts w:ascii="仿宋" w:hAnsi="仿宋" w:eastAsia="仿宋" w:cs="仿宋"/>
          <w:color w:val="000000"/>
          <w:sz w:val="24"/>
          <w:szCs w:val="24"/>
        </w:rPr>
      </w:pPr>
    </w:p>
    <w:p>
      <w:pPr>
        <w:rPr>
          <w:rFonts w:ascii="仿宋" w:hAnsi="仿宋" w:eastAsia="仿宋" w:cs="仿宋"/>
          <w:b/>
          <w:bCs/>
          <w:color w:val="000000"/>
          <w:sz w:val="24"/>
          <w:szCs w:val="24"/>
        </w:rPr>
      </w:pPr>
      <w:r>
        <w:rPr>
          <w:rFonts w:hint="eastAsia" w:ascii="仿宋" w:hAnsi="仿宋" w:eastAsia="仿宋" w:cs="仿宋"/>
          <w:b/>
          <w:bCs/>
          <w:color w:val="000000"/>
          <w:sz w:val="24"/>
          <w:szCs w:val="24"/>
        </w:rPr>
        <w:br w:type="page"/>
      </w:r>
    </w:p>
    <w:p>
      <w:pPr>
        <w:spacing w:line="360" w:lineRule="auto"/>
        <w:rPr>
          <w:rFonts w:ascii="仿宋" w:hAnsi="仿宋" w:eastAsia="仿宋" w:cs="仿宋"/>
          <w:b/>
          <w:bCs/>
          <w:color w:val="000000"/>
          <w:sz w:val="24"/>
          <w:szCs w:val="24"/>
        </w:rPr>
      </w:pPr>
      <w:r>
        <w:rPr>
          <w:rFonts w:hint="eastAsia" w:ascii="仿宋" w:hAnsi="仿宋" w:eastAsia="仿宋" w:cs="仿宋"/>
          <w:b/>
          <w:bCs/>
          <w:color w:val="000000"/>
          <w:sz w:val="24"/>
          <w:szCs w:val="24"/>
        </w:rPr>
        <w:t>（五）系统与设备维护需求</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1.有线通信和信息网络系统</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1.1有线通信</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维护人员应保持线路设备完整良好及正常运行，传输性能符合维护指标要求。障碍发生时通过线路人员通知或维护人员自己发现应能迅速准确地判断和排除故障，尽力缩短障碍历时；日常维护应勤巡视、及时排除障碍隐患；始终保持线路设备清洁和良好的工作环境，延长使用年限；在保证通信质量的前提下，节省维护费用。光纤线路日常维护管理措施：</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（1）定期巡查地铁轨行区警用电缆等设备，开展维护保养、隐患排查、整治工作，确保地铁轨行区警用通信设备不发生松脱、侵入地铁列车限界等的安全事故。合同期间巡检轨行区警用设备次数不少于4次。</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（2）积极主动向采购人上报线路巡查的隐患，并及时采取临时防护措施。</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（3）按照日常维护的要求对光缆备用纤芯进行测试，通过测试发现的问题及时上报，有计划、有针对性的进行纤芯整治工作。掌握干线及本地网干线各段落的纤芯使用情况及光缆的路由情况。</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（4）及时整理、更新线路维护的基础资料（光缆线路图、纤芯分配图、基站分布图、测试资料等）。</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（5）光缆线路的迁改、割接等工程及时跟进。从维护的角度出发，检查工程质量情况，配合采购人进行监督监管。</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1.2机房环境</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（1）温度状况：在正常情况下，机房长期工作环境温度应在0°C～45°C之间，短期工作环境温度应在-5°C～55°C之间。检查空调制冷度、开关情况等，空调制冷应完好无损，开关接触良好。</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（2）湿度状况：在正常情况下，机房的长期工作环境相对湿度应在10%RH～95%RH之间，短期工作环境相对湿度应在5%RH～95%RH之间。</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1.3网络设备硬件维护要求：</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（1）清洁状况：设备外壳、设备内部、机架内各防尘网、地板应干净整洁、无明显尘土附着。保证机柜防尘网的清洁状况，及时清洗或更换，以免影响机柜门及风扇框的通风、散热。</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（2）散热状况：设备正常工作时，要求保持风扇正常运转（清理风扇期间除外）。禁止在设备子架上通风口处放置杂物，应定期清理风扇的防尘网。</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（3）线缆布放：电源线与业务线缆分开布放。电源线布放整齐、有序。业务线缆布放整齐、有序。线缆长时间运行后，容易出现松动的现象。应定期检查接业务的线缆是否出现松动的情况。</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（4）线缆标签：观察机柜内部线缆标签情况。线缆标签清晰、准确，符合规范。</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（5）机框外观：观察机框是否完整。空闲槽位是否有假面板保护。</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（6）光接口板：光接口板上未用的光口需用防尘帽盖住。以免灰尘进入光口，降低发光口的输出光功率和收光口的接收灵敏度。需定期对尾纤淸洁度进行检查。</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1.4网络设备</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（1）性能信息: 应定时查看网元的性能时间，包括误码和指针调整次数等。</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对于复用网段，应定时查看各网元倒换状态是否正常。若发现网元不正常或协议停止，需立即分析并处理。</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（2）告警信息：正常情况下，应该无告警信息。如果有告警，需要记录，对于严重以上告警，需立即分析并处理。</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（3）日志信息：正常情况下，日志中不应该有大量重复的信息。如果有这种情况出现，需立即分析并处理。</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（4）CPU占用状态：正常情况时，CPU的占用率应低于80%。如果CPU占用率长时间过高，应检查设备，分析原因。</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（5）内存占用率：正常情况下，内存的占用率应低于80%，且当前状态显示为正常。如果长时间过高，应检查设备，查询原因。</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（6）接口流量：把当前流量和接口带宽比较，如果使用率超过端口带宽的80％，需要记录并确认。并检查接口下的入方向和出方向是否有错误统计，重点关注错误统计的增长情况。</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（7）配置文件：查看当前配置信息和保存配置信息是否一致，运行配置需要与保存过的配置相同。</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（8）接口配置：检查接口的状态和接口下的配置。</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（9）系统时间：查询系统日期和时间。时间应与当地实际时间一致（时间差不大于5分钟）。</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1.5 UPS维护</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维护人员按下述要求为采购人的设备提供维护服务，并对发现的问题做及时处理。维护保障服务内容：</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（1）检查所有电气连接；</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（2）进行放电测试；</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（3）检测电池运行的转换是否正常；</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（4）清理内部灰尘杂物；</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（5）检测内部静态旁路；</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（6）检查内部所有控制线路及带电线路是否绝缘良好；</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（7）断电情况下对UPS系统内部所有端子进行物理检查；</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（8）按客户要求实施功能检测；</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（9）应具备相应的单机/联机软件，对UPS的工作记录和报警记录进行检查，根据记录情况进行预防性维护；</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（10）检查布线是否正确，记录相关情况；</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（11）检查UPS设备，以确保所有连接处紧固，无松动；</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（12）确认内部功能正常；</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（13）检查旁路工作是否正常，包括静态旁路和手动旁路。</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1.6定期维护测试检查指标必须达到本项目的系统和设备应有标准。</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1.7维护与维修所需的设备和测试仪器由中标人提供。</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1.8遇节假日、重大活动及重大事件等情况下，中标人应按照深圳市公安局轨道交通分局的要求立即安排合适的工程师到地铁现场配合保障。</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1.9中标人必须在深圳市设立专门的备件仓库，当关键设备出现故障时，必须立即提供相应型号的设备代理使用，保证系统在正常状态下运行，直到故障设备修复完毕。</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1.10每次完成维修检验后，中标人应提交维护检修文档，检修文档应有检修人员签名，故障处理结束后，应提交正式故障处理报告，报告中应包括故障原因，处理过程等。</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2.警用视频监控系统</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2.1日常维护</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（1）对视频监控进行日常检查，检查摄像机设备是否在线，图像是否异常，及时发现问题并处理。</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（2）对监控系统及设备的运行情况进行监控，分析运行情况，及时发现并排除故障。如：网络设备、服务器系统、监控终端及各种终端外设。桌面系统的运行检查，网络及桌面系统的病毒防御。</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（3）根据监控系统各设备的使用说明，每月检测其各项技术参数及监控系统传输线路质量，处理故障隐患，协助监控主管设定使用级别等各种数据，确保各设备各项功能良好，能够正常运行。</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2.2月度维护</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（1）每月定期巡查地铁监控摄像机在线情况，确保监控摄像机在线率达到95%以上。采购人定期对监控摄像机在线情况进行考核。</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（2）对容易老化的监控设备部件每月一次进行全面检查，一旦发现老化现象应及时更换、维修，如接头等。</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（3）对易吸尘部份每季度定期清理一次，如显示器暴露在空气中，由于屏幕的静电作用，会有许多灰尘被吸附在显示器表面，影响画面的清晰度，要定期擦拭显示器，校对显示器的颜色及亮度。</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（4）对长时间工作的录像存储设备每月定期维护一次，如录像存储设备长时间工作会产生较多的热量，一旦其电风扇有故障，会影响排热，以免录像存储设备工作不正常。</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每月定期对监控系统和设备进行优化：合理安排监控中心的监控网络需求，如带宽、IP地址等限制。提供每月一次的监控系统网络性能检测，包括网络的连通性、稳定性及带宽的利用率等；实时检测所有可能影响监控网络设备的外来网络攻击，实时监控各服务器运行状态、流量及入侵监控等。对异常情况，进行核查，并进行相关的处理。根据用户需要进行监控网络的规划、优化；协助处理服务器软硬件故障及进行相关硬件软件的拆装等。</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6）每季度一次设备的除尘、清理，扫净监控设备显露的尘土，对摄像机、防护罩等部件要卸下彻底吹风除尘，之后用无水酒精棉将各个镜头擦干净，调整清晰度，防止由于机器运转、静电等因素将尘土吸入监控设备机体内，确保机器正常运行。同时检查监控机房通风、散热、净尘、供电等设施。室外温度应在－20 ℃～＋60℃，相对湿度应在10％～100％；室内温度应控制在＋5℃～＋35℃，相对湿度应控制在10％～80％，留给机房监控设备一个良好的运行环境。</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2.3定期维护测试检查指标必须达到本项目的系统和设备应有标准。</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2.4维护与维修所需的设备和测试仪器由中标人提供。</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2.5遇节假日、重大活动及重大事件等情况下，中标人应按照深圳市公安局轨道交通分局的要求立即安排合适的工程师到地铁现场配合保障。</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2.6中标人必须在深圳市设立专门的备件仓库，当关键设备出现故障时，必须立即提供相应型号的设备代理使用，保证系统在正常状态下运行，直到故障设备修复完毕。</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2.7每次完成维修检验后，中标人应提交维护检修文档，检修文档应有检修人员签名，故障处理结束后，应提交正式故障处理报告，报告中应包括故障原因，处理过程等。</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3.地铁警用无线通信系统</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3.1常规巡检</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每月对系统设备进行常规清洁一次</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（1）基站设备表面清洁和机房环境卫生（包括：基站外壳清洁、内部吸尘及基站环境卫生）。</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（2）检测基站天馈系统外观是否有损坏（包括：天线馈线、馈线头及转换线是否连接正常）。</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（3）检测基站的供电情况（包括：市电是否正常和备用电池是否有电）。</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（4）检测基站工作电流、电压是否正常。</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（5）观测基站指示灯是否工作正常。</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（6）检测有线链路是否正常（若异常需负责解决基站至本地通讯之间的故障处理）</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3.2季度巡检</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每季度系统设备的统调不少于一次。具体保养调试项目包括：</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（1）检测基站收发设备是否正常（包括：输出载波功率测试、调制灵敏度测试、参考灵敏度测试音频失真测试、静噪开启和锁闭电平测试、调制接收宽带测试、发射电流及灵敏度测试等）。</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（2）检验天馈系统的驻波比参数、输出功率和反射功率。</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（3）检测基站频率误差。</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（4）观测基站指示灯是否工作正常。</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定期巡查地铁轨行区警用通信泄露电缆等设备，开展维护保养、隐患排查、整治工作，确保地铁轨行区警用通信设备不发生松脱、侵入地铁列车限界等的安全事故。合同期间巡检轨行区警用通信设备次数不少于4次。</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3.3定期维护测试检查指标应达到本项目系统和设备的应有标准。</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3.4维护与维修所需的设备和测试仪器由中标人提供。</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3.5遇节假日、重大活动及重大事件等情况下，中标人应按照深圳市公安局轨道交通分局的要求立即安排合适的工程师到地铁现场配合保障。</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3.6中标人必须在深圳市设立专门的备件仓库，当关键设备出现故障时，必须立即提供相应型号的设备代理使用，保证系统在正常状态下运行，直到故障设备修复完毕。</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3.7每次完成维修检验后，中标人应提交维护检修文档，检修文档应有检修人员签名，故障处理结束后，应提交正式故障处理报告，报告中应包括故障原因，处理过程等。</w:t>
      </w:r>
    </w:p>
    <w:p>
      <w:pPr>
        <w:spacing w:line="360" w:lineRule="auto"/>
        <w:ind w:firstLine="480" w:firstLineChars="200"/>
        <w:rPr>
          <w:rFonts w:ascii="仿宋" w:hAnsi="仿宋" w:eastAsia="仿宋" w:cs="仿宋"/>
          <w:color w:val="000000"/>
          <w:sz w:val="24"/>
          <w:szCs w:val="24"/>
        </w:rPr>
      </w:pPr>
    </w:p>
    <w:p>
      <w:pPr>
        <w:spacing w:line="360" w:lineRule="auto"/>
        <w:rPr>
          <w:rFonts w:ascii="仿宋" w:hAnsi="仿宋" w:eastAsia="仿宋" w:cs="仿宋"/>
          <w:b/>
          <w:bCs/>
          <w:color w:val="000000"/>
          <w:sz w:val="24"/>
          <w:szCs w:val="24"/>
        </w:rPr>
      </w:pPr>
      <w:r>
        <w:rPr>
          <w:rFonts w:hint="eastAsia" w:ascii="仿宋" w:hAnsi="仿宋" w:eastAsia="仿宋" w:cs="仿宋"/>
          <w:b/>
          <w:bCs/>
          <w:color w:val="000000"/>
          <w:sz w:val="24"/>
          <w:szCs w:val="24"/>
        </w:rPr>
        <w:t>（六）网络安全服务要求</w:t>
      </w:r>
    </w:p>
    <w:p>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中标人应提供本项目范围内的网络安全监测服务，加强维护范围内的信息安全防护能力，每年开展不少于2次的安全漏洞扫描工作，配合做好采购人的网络安全防护工作。</w:t>
      </w:r>
    </w:p>
    <w:p>
      <w:pPr>
        <w:spacing w:line="360" w:lineRule="auto"/>
        <w:ind w:firstLine="480" w:firstLineChars="200"/>
        <w:rPr>
          <w:rFonts w:ascii="仿宋" w:hAnsi="仿宋" w:eastAsia="仿宋" w:cs="仿宋"/>
          <w:color w:val="000000"/>
          <w:sz w:val="24"/>
          <w:szCs w:val="24"/>
        </w:rPr>
      </w:pPr>
    </w:p>
    <w:p>
      <w:pPr>
        <w:spacing w:line="360" w:lineRule="auto"/>
        <w:rPr>
          <w:rFonts w:ascii="仿宋" w:hAnsi="仿宋" w:eastAsia="仿宋" w:cs="仿宋"/>
          <w:b/>
          <w:bCs/>
          <w:color w:val="000000"/>
          <w:sz w:val="24"/>
          <w:szCs w:val="24"/>
        </w:rPr>
      </w:pPr>
      <w:r>
        <w:rPr>
          <w:rFonts w:hint="eastAsia" w:ascii="仿宋" w:hAnsi="仿宋" w:eastAsia="仿宋" w:cs="仿宋"/>
          <w:b/>
          <w:bCs/>
          <w:color w:val="000000"/>
          <w:sz w:val="24"/>
          <w:szCs w:val="24"/>
        </w:rPr>
        <w:t>★（七）监理监督要求</w:t>
      </w:r>
    </w:p>
    <w:p>
      <w:pPr>
        <w:widowControl/>
        <w:spacing w:line="360" w:lineRule="auto"/>
        <w:ind w:firstLine="480" w:firstLineChars="200"/>
        <w:jc w:val="left"/>
        <w:rPr>
          <w:rFonts w:ascii="仿宋" w:hAnsi="仿宋" w:eastAsia="仿宋"/>
          <w:b/>
          <w:bCs/>
          <w:szCs w:val="21"/>
        </w:rPr>
      </w:pPr>
      <w:r>
        <w:rPr>
          <w:rFonts w:hint="eastAsia" w:ascii="仿宋" w:hAnsi="仿宋" w:eastAsia="仿宋" w:cs="仿宋"/>
          <w:color w:val="000000"/>
          <w:sz w:val="24"/>
          <w:szCs w:val="24"/>
        </w:rPr>
        <w:t>本项目实行项目监理制，采购人另行聘请监理单位，由监理单位负责对项目运维质量和进度进行监督，中标人应承诺自觉接受和配合监理单位的监督。</w:t>
      </w:r>
    </w:p>
    <w:p>
      <w:pPr>
        <w:rPr>
          <w:rFonts w:ascii="仿宋" w:hAnsi="仿宋" w:eastAsia="仿宋"/>
          <w:b/>
          <w:bCs/>
          <w:sz w:val="28"/>
          <w:szCs w:val="21"/>
        </w:rPr>
      </w:pPr>
      <w:r>
        <w:rPr>
          <w:rFonts w:hint="eastAsia" w:ascii="仿宋" w:hAnsi="仿宋" w:eastAsia="仿宋"/>
          <w:b/>
          <w:bCs/>
          <w:sz w:val="28"/>
          <w:szCs w:val="21"/>
        </w:rPr>
        <w:br w:type="page"/>
      </w:r>
    </w:p>
    <w:p>
      <w:pPr>
        <w:spacing w:line="300" w:lineRule="auto"/>
        <w:jc w:val="left"/>
        <w:rPr>
          <w:rFonts w:ascii="仿宋" w:hAnsi="仿宋" w:eastAsia="仿宋"/>
          <w:b/>
          <w:bCs/>
          <w:sz w:val="28"/>
          <w:szCs w:val="21"/>
        </w:rPr>
      </w:pPr>
      <w:r>
        <w:rPr>
          <w:rFonts w:hint="eastAsia" w:ascii="仿宋" w:hAnsi="仿宋" w:eastAsia="仿宋"/>
          <w:b/>
          <w:bCs/>
          <w:sz w:val="28"/>
          <w:szCs w:val="21"/>
        </w:rPr>
        <w:t>四、商务需求</w:t>
      </w:r>
    </w:p>
    <w:p>
      <w:pPr>
        <w:spacing w:line="300" w:lineRule="auto"/>
        <w:jc w:val="left"/>
        <w:rPr>
          <w:rFonts w:ascii="仿宋" w:hAnsi="仿宋" w:eastAsia="仿宋" w:cs="仿宋"/>
          <w:sz w:val="24"/>
          <w:szCs w:val="24"/>
        </w:rPr>
      </w:pPr>
      <w:r>
        <w:rPr>
          <w:rFonts w:hint="eastAsia" w:ascii="仿宋" w:hAnsi="仿宋" w:eastAsia="仿宋" w:cs="仿宋"/>
          <w:b/>
          <w:bCs/>
          <w:sz w:val="24"/>
          <w:szCs w:val="24"/>
        </w:rPr>
        <w:t>★（一）服务期限：</w:t>
      </w:r>
    </w:p>
    <w:p>
      <w:pPr>
        <w:spacing w:line="300" w:lineRule="auto"/>
        <w:ind w:firstLine="480" w:firstLineChars="200"/>
        <w:jc w:val="left"/>
        <w:rPr>
          <w:rFonts w:ascii="仿宋" w:hAnsi="仿宋" w:eastAsia="仿宋" w:cs="仿宋"/>
          <w:sz w:val="24"/>
          <w:szCs w:val="24"/>
        </w:rPr>
      </w:pPr>
      <w:r>
        <w:rPr>
          <w:rFonts w:hint="eastAsia" w:ascii="仿宋" w:hAnsi="仿宋" w:eastAsia="仿宋" w:cs="仿宋"/>
          <w:sz w:val="24"/>
          <w:szCs w:val="24"/>
        </w:rPr>
        <w:t>自合同签订之日起一年。本项目为长期服务项目，合同一年一签。本项目服务期满后，采购人可根据中标人履约情况确定合同期限是否延长，但项目合同期限最长不得超过三年，如履约、服务情况不满意的或者合同履行期间因违法行为被禁止参与政府采购活动或者存在其他重大违法记录的，则不再续约。</w:t>
      </w:r>
    </w:p>
    <w:p>
      <w:pPr>
        <w:spacing w:line="300" w:lineRule="auto"/>
        <w:jc w:val="left"/>
        <w:rPr>
          <w:rFonts w:ascii="仿宋" w:hAnsi="仿宋" w:eastAsia="仿宋" w:cs="仿宋"/>
          <w:sz w:val="24"/>
          <w:szCs w:val="24"/>
        </w:rPr>
      </w:pPr>
      <w:r>
        <w:rPr>
          <w:rFonts w:hint="eastAsia" w:ascii="仿宋" w:hAnsi="仿宋" w:eastAsia="仿宋" w:cs="仿宋"/>
          <w:b/>
          <w:bCs/>
          <w:sz w:val="24"/>
          <w:szCs w:val="24"/>
        </w:rPr>
        <w:t>（二）付款方式：</w:t>
      </w:r>
    </w:p>
    <w:p>
      <w:pPr>
        <w:spacing w:line="30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1、按照财政相关政策进行支付。</w:t>
      </w:r>
    </w:p>
    <w:p>
      <w:pPr>
        <w:spacing w:line="300" w:lineRule="auto"/>
        <w:ind w:firstLine="480" w:firstLineChars="200"/>
        <w:jc w:val="left"/>
        <w:rPr>
          <w:rFonts w:ascii="仿宋" w:hAnsi="仿宋" w:eastAsia="仿宋" w:cs="仿宋"/>
          <w:sz w:val="24"/>
          <w:szCs w:val="24"/>
        </w:rPr>
      </w:pPr>
      <w:r>
        <w:rPr>
          <w:rFonts w:hint="eastAsia" w:ascii="仿宋" w:hAnsi="仿宋" w:eastAsia="仿宋" w:cs="仿宋"/>
          <w:sz w:val="24"/>
          <w:szCs w:val="24"/>
        </w:rPr>
        <w:t>采购人按照相关程序提交财政支付申办手续即视为已履行支付义务，如因政府有关部门超期审批等原因造成采购人付款迟延的，不视为采购人违约。具体支付方式和时间如下：</w:t>
      </w:r>
    </w:p>
    <w:p>
      <w:pPr>
        <w:spacing w:line="30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（1）合同签订后20天内，采购人支付维护费的50%给中标人。</w:t>
      </w:r>
    </w:p>
    <w:p>
      <w:pPr>
        <w:spacing w:line="30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（2）合同签订三个月后20天内，采购人支付维护费的25%给中标人。</w:t>
      </w:r>
    </w:p>
    <w:p>
      <w:pPr>
        <w:spacing w:line="30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（3）合同服务期结束且经甲方验收合格后20天内，采购人支付维护费的25%给中标人。</w:t>
      </w:r>
    </w:p>
    <w:p>
      <w:pPr>
        <w:spacing w:line="30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（4）上述付款前均需要由中标人提供正式发票，若因中标人未提供正式发票，付款时间则相应顺延。</w:t>
      </w:r>
    </w:p>
    <w:p>
      <w:pPr>
        <w:spacing w:line="300" w:lineRule="auto"/>
        <w:ind w:firstLine="482" w:firstLineChars="200"/>
        <w:jc w:val="left"/>
        <w:rPr>
          <w:rFonts w:ascii="仿宋" w:hAnsi="仿宋" w:eastAsia="仿宋" w:cs="仿宋"/>
          <w:sz w:val="24"/>
          <w:szCs w:val="24"/>
        </w:rPr>
      </w:pPr>
      <w:r>
        <w:rPr>
          <w:rFonts w:hint="eastAsia" w:ascii="仿宋" w:hAnsi="仿宋" w:eastAsia="仿宋" w:cs="仿宋"/>
          <w:b/>
          <w:bCs/>
          <w:sz w:val="24"/>
          <w:szCs w:val="24"/>
        </w:rPr>
        <w:t>★2、采购人每半年对中标人履约情况进行考核，评定优、良、中、差四个等级，其中评定为良、中、差三个等级的，采购人有权分别扣除当期应付款项的5%、10%、15%。如中标人未能达到合同约定的服务及考核要求，采购人有权要求中标人从已收取的合同款项中退回相应考核比例的款项。</w:t>
      </w:r>
    </w:p>
    <w:p>
      <w:pPr>
        <w:spacing w:line="300" w:lineRule="auto"/>
        <w:jc w:val="left"/>
        <w:rPr>
          <w:rFonts w:ascii="仿宋" w:hAnsi="仿宋" w:eastAsia="仿宋" w:cs="仿宋"/>
          <w:sz w:val="24"/>
          <w:szCs w:val="24"/>
        </w:rPr>
      </w:pPr>
      <w:r>
        <w:rPr>
          <w:rFonts w:hint="eastAsia" w:ascii="仿宋" w:hAnsi="仿宋" w:eastAsia="仿宋" w:cs="仿宋"/>
          <w:b/>
          <w:bCs/>
          <w:sz w:val="24"/>
          <w:szCs w:val="24"/>
        </w:rPr>
        <w:t>（三）质量考核验收标准及违约金</w:t>
      </w:r>
    </w:p>
    <w:p>
      <w:pPr>
        <w:spacing w:line="300" w:lineRule="auto"/>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★1、质量考核验收标准：</w:t>
      </w:r>
    </w:p>
    <w:p>
      <w:pPr>
        <w:spacing w:line="300" w:lineRule="auto"/>
        <w:ind w:firstLine="480" w:firstLineChars="200"/>
        <w:jc w:val="left"/>
        <w:rPr>
          <w:rFonts w:ascii="仿宋" w:hAnsi="仿宋" w:eastAsia="仿宋" w:cs="仿宋"/>
          <w:sz w:val="24"/>
          <w:szCs w:val="24"/>
        </w:rPr>
      </w:pPr>
      <w:r>
        <w:rPr>
          <w:rFonts w:hint="eastAsia" w:ascii="仿宋" w:hAnsi="仿宋" w:eastAsia="仿宋" w:cs="仿宋"/>
          <w:sz w:val="24"/>
          <w:szCs w:val="24"/>
        </w:rPr>
        <w:t>采购人聘请专家对本项目中标人的保密工作、信息安全、安全生产、服务人数、服务质量（包括但不限于故障维护响应时间、故障处理时间、设备在线率等）、资料管理等进行履约评价，履约评价满分设100分，综合得分95（含）至100分的评定为优，85（含）至95分的为良60（含）至85分的为中，60分以下的为差。</w:t>
      </w:r>
    </w:p>
    <w:p>
      <w:pPr>
        <w:spacing w:line="360" w:lineRule="auto"/>
        <w:ind w:firstLine="480" w:firstLineChars="200"/>
        <w:jc w:val="left"/>
        <w:rPr>
          <w:rFonts w:ascii="仿宋_GB2312" w:hAnsi="华文仿宋" w:eastAsia="仿宋_GB2312"/>
          <w:sz w:val="28"/>
          <w:szCs w:val="28"/>
        </w:rPr>
      </w:pPr>
      <w:r>
        <w:rPr>
          <w:rFonts w:hint="eastAsia" w:ascii="仿宋" w:hAnsi="仿宋" w:eastAsia="仿宋" w:cs="仿宋"/>
          <w:sz w:val="24"/>
          <w:szCs w:val="24"/>
        </w:rPr>
        <w:t>2、违约金：若违约则须支付合同总金额的30%。</w:t>
      </w:r>
    </w:p>
    <w:p>
      <w:pPr>
        <w:spacing w:line="360" w:lineRule="auto"/>
        <w:rPr>
          <w:rFonts w:cs="仿宋" w:asciiTheme="minorEastAsia" w:hAnsiTheme="minorEastAsia" w:eastAsiaTheme="minorEastAsia"/>
        </w:rPr>
      </w:pPr>
      <w:r>
        <w:rPr>
          <w:rFonts w:hint="eastAsia" w:ascii="仿宋" w:hAnsi="仿宋" w:eastAsia="仿宋" w:cs="仿宋"/>
          <w:b/>
          <w:bCs/>
          <w:sz w:val="24"/>
          <w:szCs w:val="24"/>
        </w:rPr>
        <w:t>（四）投标报价：</w:t>
      </w:r>
    </w:p>
    <w:p>
      <w:pPr>
        <w:spacing w:line="360" w:lineRule="auto"/>
        <w:ind w:firstLine="480" w:firstLineChars="200"/>
        <w:rPr>
          <w:rFonts w:cs="仿宋" w:asciiTheme="minorEastAsia" w:hAnsiTheme="minorEastAsia" w:eastAsiaTheme="minorEastAsia"/>
        </w:rPr>
      </w:pPr>
      <w:r>
        <w:rPr>
          <w:rFonts w:hint="eastAsia" w:ascii="仿宋" w:hAnsi="仿宋" w:eastAsia="仿宋" w:cs="仿宋"/>
          <w:sz w:val="24"/>
          <w:szCs w:val="24"/>
        </w:rPr>
        <w:t>本项目投标报价采用包干制，应包括成本、法定税费和相应的利润，应涵盖本项目采购范围和征集文件所列的各项内容中所述的全部。由投标人根据采购需求自行测算投标报价；一经中标，投标报价即作为中标单位与采购人签订的合同金额。</w:t>
      </w:r>
    </w:p>
    <w:p>
      <w:pPr>
        <w:spacing w:line="360" w:lineRule="auto"/>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pStyle w:val="2"/>
        <w:rPr>
          <w:rFonts w:cs="仿宋" w:asciiTheme="minorEastAsia" w:hAnsiTheme="minorEastAsia" w:eastAsiaTheme="minorEastAsia"/>
        </w:rPr>
      </w:pPr>
    </w:p>
    <w:p>
      <w:pPr>
        <w:pStyle w:val="3"/>
        <w:rPr>
          <w:rFonts w:cs="仿宋" w:asciiTheme="minorEastAsia" w:hAnsiTheme="minorEastAsia" w:eastAsiaTheme="minorEastAsia"/>
        </w:rPr>
      </w:pPr>
    </w:p>
    <w:p>
      <w:pPr>
        <w:rPr>
          <w:rFonts w:cs="仿宋" w:asciiTheme="minorEastAsia" w:hAnsiTheme="minorEastAsia" w:eastAsiaTheme="minorEastAsia"/>
        </w:rPr>
      </w:pPr>
    </w:p>
    <w:p>
      <w:pPr>
        <w:adjustRightInd w:val="0"/>
        <w:snapToGrid w:val="0"/>
        <w:spacing w:line="300" w:lineRule="auto"/>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第三部分</w:t>
      </w:r>
    </w:p>
    <w:p>
      <w:pPr>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投标文件格式</w:t>
      </w:r>
    </w:p>
    <w:p>
      <w:pPr>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br w:type="page"/>
      </w:r>
    </w:p>
    <w:p>
      <w:pPr>
        <w:widowControl/>
        <w:jc w:val="left"/>
        <w:rPr>
          <w:rFonts w:cs="仿宋" w:asciiTheme="minorEastAsia" w:hAnsiTheme="minorEastAsia" w:eastAsiaTheme="minorEastAsia"/>
        </w:rPr>
      </w:pPr>
    </w:p>
    <w:p>
      <w:pPr>
        <w:jc w:val="center"/>
        <w:rPr>
          <w:rFonts w:cs="仿宋" w:asciiTheme="minorEastAsia" w:hAnsiTheme="minorEastAsia" w:eastAsiaTheme="minorEastAsia"/>
          <w:b/>
          <w:sz w:val="36"/>
          <w:szCs w:val="36"/>
        </w:rPr>
      </w:pPr>
      <w:r>
        <w:rPr>
          <w:rFonts w:hint="eastAsia" w:cs="仿宋" w:asciiTheme="minorEastAsia" w:hAnsiTheme="minorEastAsia" w:eastAsiaTheme="minorEastAsia"/>
          <w:b/>
          <w:sz w:val="36"/>
          <w:szCs w:val="36"/>
        </w:rPr>
        <w:t>投标文件格式</w:t>
      </w:r>
    </w:p>
    <w:p>
      <w:pPr>
        <w:rPr>
          <w:rFonts w:cs="仿宋" w:asciiTheme="minorEastAsia" w:hAnsiTheme="minorEastAsia" w:eastAsiaTheme="minorEastAsia"/>
        </w:rPr>
      </w:pPr>
    </w:p>
    <w:tbl>
      <w:tblPr>
        <w:tblStyle w:val="1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spacing w:line="360" w:lineRule="auto"/>
              <w:rPr>
                <w:rFonts w:asciiTheme="minorEastAsia" w:hAnsiTheme="minorEastAsia" w:eastAsiaTheme="minorEastAsia"/>
              </w:rPr>
            </w:pPr>
            <w:r>
              <w:rPr>
                <w:rFonts w:hint="eastAsia" w:cs="仿宋" w:asciiTheme="minorEastAsia" w:hAnsiTheme="minorEastAsia" w:eastAsiaTheme="minorEastAsia"/>
                <w:sz w:val="24"/>
              </w:rPr>
              <w:t>一、投标文件目录（自拟）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二、政府采购违法行为风险知悉确认书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三、评审指引表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四、声明函（格式1）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五、投标供应商资格证明文件（格式2）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六、评分中涉及的承诺及声明函（格式3）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七、开标一览表（格式4）</w:t>
            </w:r>
          </w:p>
          <w:p>
            <w:pPr>
              <w:widowControl/>
              <w:spacing w:line="360" w:lineRule="auto"/>
              <w:rPr>
                <w:rFonts w:cs="仿宋" w:asciiTheme="minorEastAsia" w:hAnsiTheme="minorEastAsia" w:eastAsiaTheme="minorEastAsia"/>
                <w:b/>
                <w:color w:val="FF0000"/>
                <w:sz w:val="24"/>
              </w:rPr>
            </w:pPr>
            <w:r>
              <w:rPr>
                <w:rFonts w:hint="eastAsia" w:cs="仿宋" w:asciiTheme="minorEastAsia" w:hAnsiTheme="minorEastAsia" w:eastAsiaTheme="minorEastAsia"/>
                <w:sz w:val="24"/>
              </w:rPr>
              <w:t xml:space="preserve">    </w:t>
            </w:r>
            <w:r>
              <w:rPr>
                <w:rFonts w:hint="eastAsia" w:cs="仿宋" w:asciiTheme="minorEastAsia" w:hAnsiTheme="minorEastAsia" w:eastAsiaTheme="minorEastAsia"/>
                <w:b/>
                <w:color w:val="FF0000"/>
              </w:rPr>
              <w:t>注：此表应与“法定代表人（负责人）证明书、法定代表人（负责人）授权委托书”一起密封于一信封，在递交投标文件时单独交与采购代理机构。（如法定代表人递交，则无需法定代表人（负责人）授权委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八、报价表（格式5）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九、服务方案（格式6）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十、差异表（格式7）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十一、其他征集文件要求的资料或投标供应商认为需要补充的资料（格式8）</w:t>
            </w:r>
          </w:p>
        </w:tc>
      </w:tr>
    </w:tbl>
    <w:p>
      <w:pPr>
        <w:rPr>
          <w:rFonts w:cs="仿宋" w:asciiTheme="minorEastAsia" w:hAnsiTheme="minorEastAsia" w:eastAsiaTheme="minorEastAsia"/>
        </w:rPr>
      </w:pPr>
    </w:p>
    <w:p>
      <w:pPr>
        <w:jc w:val="left"/>
        <w:rPr>
          <w:rFonts w:cs="仿宋" w:asciiTheme="minorEastAsia" w:hAnsiTheme="minorEastAsia" w:eastAsiaTheme="minorEastAsia"/>
        </w:rPr>
      </w:pPr>
      <w:r>
        <w:rPr>
          <w:rFonts w:hint="eastAsia" w:cs="仿宋" w:asciiTheme="minorEastAsia" w:hAnsiTheme="minorEastAsia" w:eastAsiaTheme="minorEastAsia"/>
        </w:rPr>
        <w:br w:type="page"/>
      </w: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jc w:val="center"/>
        <w:rPr>
          <w:rFonts w:cs="仿宋" w:asciiTheme="minorEastAsia" w:hAnsiTheme="minorEastAsia" w:eastAsiaTheme="minorEastAsia"/>
          <w:b/>
          <w:sz w:val="56"/>
          <w:szCs w:val="56"/>
        </w:rPr>
      </w:pPr>
      <w:r>
        <w:rPr>
          <w:rFonts w:hint="eastAsia" w:cs="仿宋" w:asciiTheme="minorEastAsia" w:hAnsiTheme="minorEastAsia" w:eastAsiaTheme="minorEastAsia"/>
          <w:b/>
          <w:sz w:val="56"/>
          <w:szCs w:val="56"/>
        </w:rPr>
        <w:t>投 标 文 件</w:t>
      </w:r>
    </w:p>
    <w:p>
      <w:pPr>
        <w:rPr>
          <w:rFonts w:cs="仿宋" w:asciiTheme="minorEastAsia" w:hAnsiTheme="minorEastAsia" w:eastAsiaTheme="minorEastAsia"/>
        </w:rPr>
      </w:pPr>
    </w:p>
    <w:p>
      <w:pPr>
        <w:rPr>
          <w:rFonts w:cs="仿宋" w:asciiTheme="minorEastAsia" w:hAnsiTheme="minorEastAsia" w:eastAsiaTheme="minorEastAsia"/>
        </w:rPr>
      </w:pPr>
    </w:p>
    <w:p>
      <w:pPr>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（正本/副本）</w:t>
      </w: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tbl>
      <w:tblPr>
        <w:tblStyle w:val="1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8"/>
        <w:gridCol w:w="4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480" w:lineRule="auto"/>
              <w:jc w:val="center"/>
              <w:rPr>
                <w:rFonts w:cs="仿宋" w:asciiTheme="minorEastAsia" w:hAnsiTheme="minorEastAsia" w:eastAsiaTheme="minorEastAsia"/>
                <w:b/>
                <w:sz w:val="24"/>
              </w:rPr>
            </w:pPr>
            <w:r>
              <w:rPr>
                <w:rFonts w:hint="eastAsia" w:cs="仿宋" w:asciiTheme="minorEastAsia" w:hAnsiTheme="minorEastAsia" w:eastAsiaTheme="minorEastAsia"/>
                <w:b/>
                <w:sz w:val="24"/>
              </w:rPr>
              <w:t>项 目 名 称：</w:t>
            </w:r>
          </w:p>
        </w:tc>
        <w:tc>
          <w:tcPr>
            <w:tcW w:w="4774" w:type="dxa"/>
            <w:vAlign w:val="center"/>
          </w:tcPr>
          <w:p>
            <w:pPr>
              <w:widowControl/>
              <w:spacing w:line="480" w:lineRule="auto"/>
              <w:rPr>
                <w:rFonts w:cs="仿宋" w:asciiTheme="minorEastAsia" w:hAnsiTheme="minorEastAsia" w:eastAsiaTheme="minorEastAsia"/>
                <w:sz w:val="24"/>
                <w:u w:val="single"/>
              </w:rPr>
            </w:pPr>
            <w:r>
              <w:rPr>
                <w:rFonts w:hint="eastAsia" w:cs="仿宋" w:asciiTheme="minorEastAsia" w:hAnsiTheme="minorEastAsia" w:eastAsiaTheme="minorEastAsia"/>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276" w:lineRule="auto"/>
              <w:jc w:val="center"/>
              <w:rPr>
                <w:rFonts w:cs="仿宋" w:asciiTheme="minorEastAsia" w:hAnsiTheme="minorEastAsia" w:eastAsiaTheme="minorEastAsia"/>
                <w:b/>
                <w:sz w:val="24"/>
              </w:rPr>
            </w:pPr>
            <w:r>
              <w:rPr>
                <w:rFonts w:hint="eastAsia" w:cs="仿宋" w:asciiTheme="minorEastAsia" w:hAnsiTheme="minorEastAsia" w:eastAsiaTheme="minorEastAsia"/>
                <w:b/>
                <w:sz w:val="24"/>
              </w:rPr>
              <w:t>法定代表人：</w:t>
            </w:r>
          </w:p>
          <w:p>
            <w:pPr>
              <w:widowControl/>
              <w:spacing w:line="276" w:lineRule="auto"/>
              <w:jc w:val="center"/>
              <w:rPr>
                <w:rFonts w:cs="仿宋" w:asciiTheme="minorEastAsia" w:hAnsiTheme="minorEastAsia" w:eastAsiaTheme="minorEastAsia"/>
                <w:b/>
                <w:sz w:val="24"/>
              </w:rPr>
            </w:pPr>
            <w:r>
              <w:rPr>
                <w:rFonts w:hint="eastAsia" w:cs="仿宋" w:asciiTheme="minorEastAsia" w:hAnsiTheme="minorEastAsia" w:eastAsiaTheme="minorEastAsia"/>
                <w:b/>
                <w:sz w:val="24"/>
              </w:rPr>
              <w:t>（授权代理人）</w:t>
            </w:r>
          </w:p>
        </w:tc>
        <w:tc>
          <w:tcPr>
            <w:tcW w:w="4774" w:type="dxa"/>
            <w:vAlign w:val="center"/>
          </w:tcPr>
          <w:p>
            <w:pPr>
              <w:widowControl/>
              <w:spacing w:line="480" w:lineRule="auto"/>
              <w:rPr>
                <w:rFonts w:cs="仿宋" w:asciiTheme="minorEastAsia" w:hAnsiTheme="minorEastAsia" w:eastAsiaTheme="minorEastAsia"/>
                <w:sz w:val="24"/>
              </w:rPr>
            </w:pPr>
            <w:r>
              <w:rPr>
                <w:rFonts w:hint="eastAsia" w:cs="仿宋" w:asciiTheme="minorEastAsia" w:hAnsiTheme="minorEastAsia" w:eastAsiaTheme="minorEastAsia"/>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480" w:lineRule="auto"/>
              <w:jc w:val="center"/>
              <w:rPr>
                <w:rFonts w:cs="仿宋" w:asciiTheme="minorEastAsia" w:hAnsiTheme="minorEastAsia" w:eastAsiaTheme="minorEastAsia"/>
                <w:b/>
                <w:sz w:val="24"/>
              </w:rPr>
            </w:pPr>
            <w:r>
              <w:rPr>
                <w:rFonts w:hint="eastAsia" w:cs="仿宋" w:asciiTheme="minorEastAsia" w:hAnsiTheme="minorEastAsia" w:eastAsiaTheme="minorEastAsia"/>
                <w:b/>
                <w:sz w:val="24"/>
              </w:rPr>
              <w:t>投标供应商：</w:t>
            </w:r>
          </w:p>
        </w:tc>
        <w:tc>
          <w:tcPr>
            <w:tcW w:w="4774" w:type="dxa"/>
            <w:vAlign w:val="center"/>
          </w:tcPr>
          <w:p>
            <w:pPr>
              <w:widowControl/>
              <w:spacing w:line="480" w:lineRule="auto"/>
              <w:rPr>
                <w:rFonts w:cs="仿宋" w:asciiTheme="minorEastAsia" w:hAnsiTheme="minorEastAsia" w:eastAsiaTheme="minorEastAsia"/>
                <w:sz w:val="24"/>
              </w:rPr>
            </w:pPr>
            <w:r>
              <w:rPr>
                <w:rFonts w:hint="eastAsia" w:cs="仿宋" w:asciiTheme="minorEastAsia" w:hAnsiTheme="minorEastAsia" w:eastAsiaTheme="minorEastAsia"/>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480" w:lineRule="auto"/>
              <w:jc w:val="center"/>
              <w:rPr>
                <w:rFonts w:cs="仿宋" w:asciiTheme="minorEastAsia" w:hAnsiTheme="minorEastAsia" w:eastAsiaTheme="minorEastAsia"/>
                <w:b/>
                <w:sz w:val="24"/>
              </w:rPr>
            </w:pPr>
            <w:r>
              <w:rPr>
                <w:rFonts w:hint="eastAsia" w:cs="仿宋" w:asciiTheme="minorEastAsia" w:hAnsiTheme="minorEastAsia" w:eastAsiaTheme="minorEastAsia"/>
                <w:b/>
                <w:sz w:val="24"/>
              </w:rPr>
              <w:t>日       期：</w:t>
            </w:r>
          </w:p>
        </w:tc>
        <w:tc>
          <w:tcPr>
            <w:tcW w:w="4774" w:type="dxa"/>
            <w:vAlign w:val="center"/>
          </w:tcPr>
          <w:p>
            <w:pPr>
              <w:widowControl/>
              <w:spacing w:line="480" w:lineRule="auto"/>
              <w:rPr>
                <w:rFonts w:cs="仿宋" w:asciiTheme="minorEastAsia" w:hAnsiTheme="minorEastAsia" w:eastAsiaTheme="minorEastAsia"/>
                <w:sz w:val="24"/>
              </w:rPr>
            </w:pPr>
            <w:r>
              <w:rPr>
                <w:rFonts w:hint="eastAsia" w:cs="仿宋" w:asciiTheme="minorEastAsia" w:hAnsiTheme="minorEastAsia" w:eastAsiaTheme="minorEastAsia"/>
                <w:sz w:val="24"/>
                <w:u w:val="single"/>
              </w:rPr>
              <w:t xml:space="preserve">                              </w:t>
            </w:r>
          </w:p>
        </w:tc>
      </w:tr>
    </w:tbl>
    <w:p>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pPr>
        <w:keepNext/>
        <w:keepLines/>
        <w:spacing w:before="260" w:after="260" w:line="400" w:lineRule="exact"/>
        <w:jc w:val="center"/>
        <w:outlineLvl w:val="1"/>
        <w:rPr>
          <w:rFonts w:asciiTheme="minorEastAsia" w:hAnsiTheme="minorEastAsia" w:eastAsiaTheme="minorEastAsia"/>
          <w:b/>
          <w:bCs/>
          <w:sz w:val="28"/>
          <w:szCs w:val="32"/>
        </w:rPr>
      </w:pPr>
      <w:bookmarkStart w:id="4" w:name="_Toc110410380"/>
      <w:r>
        <w:rPr>
          <w:rFonts w:hint="eastAsia" w:asciiTheme="minorEastAsia" w:hAnsiTheme="minorEastAsia" w:eastAsiaTheme="minorEastAsia"/>
          <w:b/>
          <w:bCs/>
          <w:sz w:val="28"/>
          <w:szCs w:val="32"/>
        </w:rPr>
        <w:t>政府采购违法行为风险知悉确认书</w:t>
      </w:r>
      <w:bookmarkEnd w:id="4"/>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本公司在投标前已充分知悉以下情形为参与政府采购活动时的重大风险事项，并承诺已对下述风险提示事项重点排查，做到严谨、诚信、依法依规参与政府采购活动。</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一、本公司已充分知悉“隐瞒真实情况，提供虚假资料”的法定情形，相关情形包括但不限于：</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（一）通过转让或者租借等方式从其他单位获取资格或者资质证书投标的。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（二）由其他单位或者其他单位负责人在投标供应商编制的投标文件上加盖印章或者签字的。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（三）项目负责人或者主要技术人员不是本单位人员的。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（四）投标保证金不是从投标供应商基本账户转出的。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（五）其他隐瞒真实情况、提供虚假资料的行为。</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二、本公司已充分知悉“与其他采购参加人串通投标”的法定情形，相关情形包括但不限于：</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（一）投标供应商之间相互约定给予未中标的供应商利益补偿。</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（三）不同投标供应商的投标文件由同一单位或者同一人编制，或者由同一人分阶段参与编制的。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（四）不同投标供应商的投标文件或部分投标文件相互混装。</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（五）不同投标供应商的投标文件内容存在非正常一致。</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（六）由同一单位工作人员为两家以上（含两家）供应商进行同一项投标活动的。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（七）不同投标人的投标报价呈规律性差异。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（八）不同投标人的投标保证金从同一单位或者个人的账户转出。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（九）主管部门依照法律、法规认定的其他情形。</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三、本公司已充分知悉下列情形所对应的法律风险，并在投标前已对相关风险事项进行排查。</w:t>
      </w:r>
    </w:p>
    <w:p>
      <w:pPr>
        <w:spacing w:line="360" w:lineRule="auto"/>
        <w:ind w:firstLine="420" w:firstLineChars="200"/>
        <w:rPr>
          <w:rFonts w:asciiTheme="minorEastAsia" w:hAnsiTheme="minorEastAsia" w:eastAsiaTheme="minorEastAsia"/>
          <w:b/>
          <w:szCs w:val="21"/>
        </w:rPr>
      </w:pPr>
      <w:r>
        <w:rPr>
          <w:rFonts w:hint="eastAsia" w:asciiTheme="minorEastAsia" w:hAnsiTheme="minorEastAsia" w:eastAsiaTheme="minorEastAsia"/>
          <w:szCs w:val="21"/>
        </w:rPr>
        <w:t>（一）对于从其他主体获取的投标资料，供应商应审慎核查，确保投标资料的真实性。</w:t>
      </w:r>
      <w:r>
        <w:rPr>
          <w:rFonts w:hint="eastAsia" w:asciiTheme="minorEastAsia" w:hAnsiTheme="minorEastAsia" w:eastAsiaTheme="minorEastAsia"/>
          <w:b/>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（三）对于涉及安全生产、特种作业、抢险救灾、防疫等政府采购项目，供应商实施提供虚假资料、串通投标等违法行为的，主管部门将依法从严处理。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四、本公司已充分知悉政府采购违法、违规行为的法律后果。</w:t>
      </w:r>
      <w:r>
        <w:rPr>
          <w:rFonts w:hint="eastAsia" w:asciiTheme="minorEastAsia" w:hAnsiTheme="minorEastAsia" w:eastAsiaTheme="minorEastAsia"/>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以下文字请投标供应商抄写并确认：“本公司已仔细阅读《政府采购违法行为风险知悉确认书》，充分知悉违法行为的法律后果，并承诺将严谨、诚信、依法依规参与政府采购活动”。</w:t>
      </w:r>
    </w:p>
    <w:p>
      <w:pPr>
        <w:spacing w:line="360" w:lineRule="auto"/>
        <w:ind w:firstLine="420" w:firstLineChars="200"/>
        <w:rPr>
          <w:rFonts w:asciiTheme="minorEastAsia" w:hAnsiTheme="minorEastAsia" w:eastAsiaTheme="minorEastAsia" w:cstheme="minorBidi"/>
          <w:szCs w:val="21"/>
          <w:u w:val="single"/>
        </w:rPr>
      </w:pPr>
      <w:r>
        <w:rPr>
          <w:rFonts w:hint="eastAsia" w:asciiTheme="minorEastAsia" w:hAnsiTheme="minorEastAsia" w:eastAsiaTheme="minorEastAsia" w:cstheme="minorBidi"/>
          <w:szCs w:val="21"/>
          <w:u w:val="single"/>
        </w:rPr>
        <w:t xml:space="preserve">                                                                                         </w:t>
      </w:r>
    </w:p>
    <w:p>
      <w:pPr>
        <w:spacing w:line="360" w:lineRule="auto"/>
        <w:rPr>
          <w:rFonts w:asciiTheme="minorEastAsia" w:hAnsiTheme="minorEastAsia" w:eastAsiaTheme="minorEastAsia" w:cstheme="minorBidi"/>
          <w:szCs w:val="21"/>
          <w:u w:val="single"/>
        </w:rPr>
      </w:pPr>
      <w:r>
        <w:rPr>
          <w:rFonts w:hint="eastAsia" w:asciiTheme="minorEastAsia" w:hAnsiTheme="minorEastAsia" w:eastAsiaTheme="minorEastAsia" w:cstheme="minorBidi"/>
          <w:szCs w:val="21"/>
          <w:u w:val="single"/>
        </w:rPr>
        <w:t xml:space="preserve">                                                                                            </w:t>
      </w:r>
    </w:p>
    <w:p>
      <w:pPr>
        <w:spacing w:line="360" w:lineRule="auto"/>
        <w:rPr>
          <w:rFonts w:asciiTheme="minorEastAsia" w:hAnsiTheme="minorEastAsia" w:eastAsiaTheme="minorEastAsia" w:cstheme="minorBidi"/>
          <w:szCs w:val="21"/>
          <w:u w:val="single"/>
        </w:rPr>
      </w:pPr>
      <w:r>
        <w:rPr>
          <w:rFonts w:hint="eastAsia" w:asciiTheme="minorEastAsia" w:hAnsiTheme="minorEastAsia" w:eastAsiaTheme="minorEastAsia" w:cstheme="minorBidi"/>
          <w:szCs w:val="21"/>
          <w:u w:val="single"/>
        </w:rPr>
        <w:t xml:space="preserve">                                                                                            </w:t>
      </w:r>
    </w:p>
    <w:p>
      <w:pPr>
        <w:spacing w:line="360" w:lineRule="auto"/>
        <w:ind w:firstLine="420" w:firstLineChars="200"/>
        <w:rPr>
          <w:rFonts w:asciiTheme="minorEastAsia" w:hAnsiTheme="minorEastAsia" w:eastAsiaTheme="minorEastAsia"/>
          <w:szCs w:val="21"/>
          <w:u w:val="single"/>
        </w:rPr>
      </w:pP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负责人</w:t>
      </w:r>
      <w:r>
        <w:rPr>
          <w:rFonts w:asciiTheme="minorEastAsia" w:hAnsiTheme="minorEastAsia" w:eastAsiaTheme="minorEastAsia"/>
          <w:szCs w:val="21"/>
        </w:rPr>
        <w:t>/</w:t>
      </w:r>
      <w:r>
        <w:rPr>
          <w:rFonts w:hint="eastAsia" w:asciiTheme="minorEastAsia" w:hAnsiTheme="minorEastAsia" w:eastAsiaTheme="minorEastAsia"/>
          <w:szCs w:val="21"/>
        </w:rPr>
        <w:t>投标授权代表签名：</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知悉人（公章）：</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日期：</w:t>
      </w:r>
    </w:p>
    <w:p>
      <w:pPr>
        <w:jc w:val="center"/>
        <w:rPr>
          <w:rFonts w:cs="仿宋" w:asciiTheme="minorEastAsia" w:hAnsiTheme="minorEastAsia" w:eastAsiaTheme="minorEastAsia"/>
          <w:b/>
          <w:sz w:val="36"/>
          <w:szCs w:val="36"/>
        </w:rPr>
      </w:pPr>
      <w:r>
        <w:rPr>
          <w:rFonts w:hint="eastAsia" w:cs="仿宋" w:asciiTheme="minorEastAsia" w:hAnsiTheme="minorEastAsia" w:eastAsiaTheme="minorEastAsia"/>
          <w:b/>
          <w:sz w:val="36"/>
          <w:szCs w:val="36"/>
        </w:rPr>
        <w:t>评审指引表</w:t>
      </w:r>
    </w:p>
    <w:p>
      <w:pPr>
        <w:ind w:left="424" w:leftChars="202" w:firstLine="424" w:firstLineChars="202"/>
        <w:rPr>
          <w:rFonts w:cs="仿宋" w:asciiTheme="minorEastAsia" w:hAnsiTheme="minorEastAsia" w:eastAsiaTheme="minorEastAsia"/>
        </w:rPr>
      </w:pPr>
    </w:p>
    <w:p>
      <w:pPr>
        <w:ind w:left="424" w:leftChars="202" w:right="792" w:rightChars="377" w:firstLine="424" w:firstLineChars="202"/>
        <w:rPr>
          <w:rFonts w:cs="仿宋" w:asciiTheme="minorEastAsia" w:hAnsiTheme="minorEastAsia" w:eastAsiaTheme="minorEastAsia"/>
          <w:sz w:val="22"/>
        </w:rPr>
      </w:pPr>
      <w:r>
        <w:rPr>
          <w:rFonts w:hint="eastAsia" w:cs="仿宋" w:asciiTheme="minorEastAsia" w:hAnsiTheme="minorEastAsia" w:eastAsiaTheme="minorEastAsia"/>
        </w:rPr>
        <w:t>为方便参与该项目的评委专家的评审，快速找到评审事项与该项目投标文件所对应的位置，请投标供应商参照下表格式，编制本项目评审指引表。</w:t>
      </w:r>
    </w:p>
    <w:p>
      <w:pPr>
        <w:ind w:left="424" w:leftChars="202" w:right="792" w:rightChars="377" w:firstLine="444" w:firstLineChars="202"/>
        <w:rPr>
          <w:rFonts w:cs="仿宋" w:asciiTheme="minorEastAsia" w:hAnsiTheme="minorEastAsia" w:eastAsiaTheme="minorEastAsia"/>
          <w:sz w:val="22"/>
        </w:rPr>
      </w:pPr>
    </w:p>
    <w:tbl>
      <w:tblPr>
        <w:tblStyle w:val="19"/>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50"/>
        <w:gridCol w:w="3544"/>
        <w:gridCol w:w="1559"/>
        <w:gridCol w:w="16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38" w:type="dxa"/>
            <w:gridSpan w:val="4"/>
            <w:shd w:val="clear" w:color="auto" w:fill="C6D9F0" w:themeFill="text2" w:themeFillTint="33"/>
            <w:vAlign w:val="center"/>
          </w:tcPr>
          <w:p>
            <w:pPr>
              <w:spacing w:line="360" w:lineRule="auto"/>
              <w:jc w:val="center"/>
              <w:rPr>
                <w:rFonts w:cs="仿宋" w:asciiTheme="minorEastAsia" w:hAnsiTheme="minorEastAsia" w:eastAsiaTheme="minorEastAsia"/>
                <w:b/>
                <w:sz w:val="22"/>
              </w:rPr>
            </w:pPr>
            <w:r>
              <w:rPr>
                <w:rFonts w:hint="eastAsia" w:cs="仿宋" w:asciiTheme="minorEastAsia" w:hAnsiTheme="minorEastAsia" w:eastAsiaTheme="minorEastAsia"/>
                <w:b/>
              </w:rPr>
              <w:t>综合评分指引（参见评审方法和详细评审）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0" w:type="dxa"/>
            <w:vAlign w:val="center"/>
          </w:tcPr>
          <w:p>
            <w:pPr>
              <w:jc w:val="center"/>
              <w:rPr>
                <w:rFonts w:cs="仿宋" w:asciiTheme="minorEastAsia" w:hAnsiTheme="minorEastAsia" w:eastAsiaTheme="minorEastAsia"/>
              </w:rPr>
            </w:pPr>
            <w:r>
              <w:rPr>
                <w:rFonts w:hint="eastAsia" w:cs="仿宋" w:asciiTheme="minorEastAsia" w:hAnsiTheme="minorEastAsia" w:eastAsiaTheme="minorEastAsia"/>
              </w:rPr>
              <w:t>评分类型</w:t>
            </w:r>
          </w:p>
        </w:tc>
        <w:tc>
          <w:tcPr>
            <w:tcW w:w="3544" w:type="dxa"/>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评分项目</w:t>
            </w:r>
          </w:p>
        </w:tc>
        <w:tc>
          <w:tcPr>
            <w:tcW w:w="1559" w:type="dxa"/>
            <w:vAlign w:val="center"/>
          </w:tcPr>
          <w:p>
            <w:pPr>
              <w:jc w:val="center"/>
              <w:rPr>
                <w:rFonts w:cs="仿宋" w:asciiTheme="minorEastAsia" w:hAnsiTheme="minorEastAsia" w:eastAsiaTheme="minorEastAsia"/>
              </w:rPr>
            </w:pPr>
            <w:r>
              <w:rPr>
                <w:rFonts w:hint="eastAsia" w:cs="仿宋" w:asciiTheme="minorEastAsia" w:hAnsiTheme="minorEastAsia" w:eastAsiaTheme="minorEastAsia"/>
              </w:rPr>
              <w:t>分值</w:t>
            </w:r>
          </w:p>
          <w:p>
            <w:pPr>
              <w:jc w:val="center"/>
              <w:rPr>
                <w:rFonts w:cs="仿宋" w:asciiTheme="minorEastAsia" w:hAnsiTheme="minorEastAsia" w:eastAsiaTheme="minorEastAsia"/>
              </w:rPr>
            </w:pPr>
            <w:r>
              <w:rPr>
                <w:rFonts w:hint="eastAsia" w:cs="仿宋" w:asciiTheme="minorEastAsia" w:hAnsiTheme="minorEastAsia" w:eastAsiaTheme="minorEastAsia"/>
              </w:rPr>
              <w:t>（或权重）</w:t>
            </w:r>
          </w:p>
        </w:tc>
        <w:tc>
          <w:tcPr>
            <w:tcW w:w="1685" w:type="dxa"/>
            <w:vAlign w:val="center"/>
          </w:tcPr>
          <w:p>
            <w:pPr>
              <w:jc w:val="center"/>
              <w:rPr>
                <w:rFonts w:cs="仿宋" w:asciiTheme="minorEastAsia" w:hAnsiTheme="minorEastAsia" w:eastAsiaTheme="minorEastAsia"/>
              </w:rPr>
            </w:pPr>
            <w:r>
              <w:rPr>
                <w:rFonts w:hint="eastAsia" w:cs="仿宋" w:asciiTheme="minorEastAsia" w:hAnsiTheme="minorEastAsia" w:eastAsiaTheme="minorEastAsia"/>
              </w:rPr>
              <w:t>对应页码</w:t>
            </w:r>
          </w:p>
          <w:p>
            <w:pPr>
              <w:jc w:val="center"/>
              <w:rPr>
                <w:rFonts w:cs="仿宋" w:asciiTheme="minorEastAsia" w:hAnsiTheme="minorEastAsia" w:eastAsiaTheme="minorEastAsia"/>
              </w:rPr>
            </w:pPr>
            <w:r>
              <w:rPr>
                <w:rFonts w:hint="eastAsia" w:cs="仿宋" w:asciiTheme="minorEastAsia" w:hAnsiTheme="minorEastAsia" w:eastAsiaTheme="minorEastAsia"/>
              </w:rPr>
              <w:t>（对应章节）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0" w:type="dxa"/>
            <w:vAlign w:val="center"/>
          </w:tcPr>
          <w:p>
            <w:pPr>
              <w:spacing w:line="276" w:lineRule="auto"/>
              <w:jc w:val="center"/>
              <w:rPr>
                <w:rFonts w:cs="仿宋" w:asciiTheme="minorEastAsia" w:hAnsiTheme="minorEastAsia" w:eastAsiaTheme="minorEastAsia"/>
              </w:rPr>
            </w:pPr>
            <w:r>
              <w:rPr>
                <w:rFonts w:hint="eastAsia" w:cs="仿宋" w:asciiTheme="minorEastAsia" w:hAnsiTheme="minorEastAsia" w:eastAsiaTheme="minorEastAsia"/>
              </w:rPr>
              <w:t>价格部分</w:t>
            </w:r>
          </w:p>
        </w:tc>
        <w:tc>
          <w:tcPr>
            <w:tcW w:w="3544" w:type="dxa"/>
          </w:tcPr>
          <w:p>
            <w:pPr>
              <w:spacing w:line="360" w:lineRule="auto"/>
              <w:jc w:val="left"/>
              <w:rPr>
                <w:rFonts w:cs="仿宋" w:asciiTheme="minorEastAsia" w:hAnsiTheme="minorEastAsia" w:eastAsiaTheme="minorEastAsia"/>
                <w:sz w:val="20"/>
                <w:szCs w:val="20"/>
              </w:rPr>
            </w:pPr>
            <w:r>
              <w:rPr>
                <w:rFonts w:hint="eastAsia" w:cs="仿宋" w:asciiTheme="minorEastAsia" w:hAnsiTheme="minorEastAsia" w:eastAsiaTheme="minorEastAsia"/>
                <w:sz w:val="20"/>
                <w:szCs w:val="20"/>
              </w:rPr>
              <w:t>小型企业、微型企业、监狱企业、残疾人福利性单位声明等 ，详见评审信息政府采购</w:t>
            </w:r>
            <w:r>
              <w:rPr>
                <w:rFonts w:hint="eastAsia" w:cs="仿宋" w:asciiTheme="minorEastAsia" w:hAnsiTheme="minorEastAsia" w:eastAsiaTheme="minorEastAsia"/>
                <w:bCs/>
                <w:sz w:val="20"/>
                <w:szCs w:val="20"/>
              </w:rPr>
              <w:t>优惠政策</w:t>
            </w:r>
          </w:p>
        </w:tc>
        <w:tc>
          <w:tcPr>
            <w:tcW w:w="1559" w:type="dxa"/>
            <w:vAlign w:val="center"/>
          </w:tcPr>
          <w:p>
            <w:pPr>
              <w:spacing w:line="360" w:lineRule="auto"/>
              <w:jc w:val="center"/>
              <w:rPr>
                <w:rFonts w:cs="仿宋" w:asciiTheme="minorEastAsia" w:hAnsiTheme="minorEastAsia" w:eastAsiaTheme="minorEastAsia"/>
              </w:rPr>
            </w:pPr>
          </w:p>
        </w:tc>
        <w:tc>
          <w:tcPr>
            <w:tcW w:w="1685" w:type="dxa"/>
            <w:vAlign w:val="center"/>
          </w:tcPr>
          <w:p>
            <w:pPr>
              <w:spacing w:line="360" w:lineRule="auto"/>
              <w:jc w:val="center"/>
              <w:rPr>
                <w:rFonts w:cs="仿宋" w:asciiTheme="minorEastAsia" w:hAnsiTheme="minorEastAsia" w:eastAsia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0" w:type="dxa"/>
            <w:vMerge w:val="restart"/>
            <w:vAlign w:val="center"/>
          </w:tcPr>
          <w:p>
            <w:pPr>
              <w:spacing w:line="276" w:lineRule="auto"/>
              <w:jc w:val="center"/>
              <w:rPr>
                <w:rFonts w:cs="仿宋" w:asciiTheme="minorEastAsia" w:hAnsiTheme="minorEastAsia" w:eastAsiaTheme="minorEastAsia"/>
              </w:rPr>
            </w:pPr>
            <w:r>
              <w:rPr>
                <w:rFonts w:hint="eastAsia" w:cs="仿宋" w:asciiTheme="minorEastAsia" w:hAnsiTheme="minorEastAsia" w:eastAsiaTheme="minorEastAsia"/>
              </w:rPr>
              <w:t>商务部分</w:t>
            </w:r>
          </w:p>
        </w:tc>
        <w:tc>
          <w:tcPr>
            <w:tcW w:w="3544" w:type="dxa"/>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1...</w:t>
            </w:r>
          </w:p>
        </w:tc>
        <w:tc>
          <w:tcPr>
            <w:tcW w:w="1559" w:type="dxa"/>
            <w:vAlign w:val="center"/>
          </w:tcPr>
          <w:p>
            <w:pPr>
              <w:spacing w:line="360" w:lineRule="auto"/>
              <w:jc w:val="center"/>
              <w:rPr>
                <w:rFonts w:cs="仿宋" w:asciiTheme="minorEastAsia" w:hAnsiTheme="minorEastAsia" w:eastAsiaTheme="minorEastAsia"/>
              </w:rPr>
            </w:pPr>
          </w:p>
        </w:tc>
        <w:tc>
          <w:tcPr>
            <w:tcW w:w="1685" w:type="dxa"/>
            <w:vAlign w:val="center"/>
          </w:tcPr>
          <w:p>
            <w:pPr>
              <w:spacing w:line="360" w:lineRule="auto"/>
              <w:jc w:val="center"/>
              <w:rPr>
                <w:rFonts w:cs="仿宋" w:asciiTheme="minorEastAsia" w:hAnsiTheme="minorEastAsia" w:eastAsia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0" w:type="dxa"/>
            <w:vMerge w:val="continue"/>
            <w:vAlign w:val="center"/>
          </w:tcPr>
          <w:p>
            <w:pPr>
              <w:spacing w:line="276" w:lineRule="auto"/>
              <w:jc w:val="center"/>
              <w:rPr>
                <w:rFonts w:cs="仿宋" w:asciiTheme="minorEastAsia" w:hAnsiTheme="minorEastAsia" w:eastAsiaTheme="minorEastAsia"/>
              </w:rPr>
            </w:pPr>
          </w:p>
        </w:tc>
        <w:tc>
          <w:tcPr>
            <w:tcW w:w="3544" w:type="dxa"/>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2...</w:t>
            </w:r>
          </w:p>
        </w:tc>
        <w:tc>
          <w:tcPr>
            <w:tcW w:w="1559" w:type="dxa"/>
            <w:vAlign w:val="center"/>
          </w:tcPr>
          <w:p>
            <w:pPr>
              <w:spacing w:line="360" w:lineRule="auto"/>
              <w:jc w:val="center"/>
              <w:rPr>
                <w:rFonts w:cs="仿宋" w:asciiTheme="minorEastAsia" w:hAnsiTheme="minorEastAsia" w:eastAsiaTheme="minorEastAsia"/>
              </w:rPr>
            </w:pPr>
          </w:p>
        </w:tc>
        <w:tc>
          <w:tcPr>
            <w:tcW w:w="1685" w:type="dxa"/>
            <w:vAlign w:val="center"/>
          </w:tcPr>
          <w:p>
            <w:pPr>
              <w:spacing w:line="360" w:lineRule="auto"/>
              <w:jc w:val="center"/>
              <w:rPr>
                <w:rFonts w:cs="仿宋" w:asciiTheme="minorEastAsia" w:hAnsiTheme="minorEastAsia" w:eastAsia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0" w:type="dxa"/>
            <w:vMerge w:val="continue"/>
            <w:vAlign w:val="center"/>
          </w:tcPr>
          <w:p>
            <w:pPr>
              <w:spacing w:line="276" w:lineRule="auto"/>
              <w:jc w:val="center"/>
              <w:rPr>
                <w:rFonts w:cs="仿宋" w:asciiTheme="minorEastAsia" w:hAnsiTheme="minorEastAsia" w:eastAsiaTheme="minorEastAsia"/>
              </w:rPr>
            </w:pPr>
          </w:p>
        </w:tc>
        <w:tc>
          <w:tcPr>
            <w:tcW w:w="3544" w:type="dxa"/>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3...</w:t>
            </w:r>
          </w:p>
        </w:tc>
        <w:tc>
          <w:tcPr>
            <w:tcW w:w="1559" w:type="dxa"/>
            <w:vAlign w:val="center"/>
          </w:tcPr>
          <w:p>
            <w:pPr>
              <w:spacing w:line="360" w:lineRule="auto"/>
              <w:jc w:val="center"/>
              <w:rPr>
                <w:rFonts w:cs="仿宋" w:asciiTheme="minorEastAsia" w:hAnsiTheme="minorEastAsia" w:eastAsiaTheme="minorEastAsia"/>
              </w:rPr>
            </w:pPr>
          </w:p>
        </w:tc>
        <w:tc>
          <w:tcPr>
            <w:tcW w:w="1685" w:type="dxa"/>
            <w:vAlign w:val="center"/>
          </w:tcPr>
          <w:p>
            <w:pPr>
              <w:spacing w:line="360" w:lineRule="auto"/>
              <w:jc w:val="center"/>
              <w:rPr>
                <w:rFonts w:cs="仿宋" w:asciiTheme="minorEastAsia" w:hAnsiTheme="minorEastAsia" w:eastAsia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0" w:type="dxa"/>
            <w:vMerge w:val="restart"/>
            <w:vAlign w:val="center"/>
          </w:tcPr>
          <w:p>
            <w:pPr>
              <w:spacing w:line="276" w:lineRule="auto"/>
              <w:jc w:val="center"/>
              <w:rPr>
                <w:rFonts w:cs="仿宋" w:asciiTheme="minorEastAsia" w:hAnsiTheme="minorEastAsia" w:eastAsiaTheme="minorEastAsia"/>
              </w:rPr>
            </w:pPr>
            <w:r>
              <w:rPr>
                <w:rFonts w:hint="eastAsia" w:cs="仿宋" w:asciiTheme="minorEastAsia" w:hAnsiTheme="minorEastAsia" w:eastAsiaTheme="minorEastAsia"/>
              </w:rPr>
              <w:t>技术部分</w:t>
            </w:r>
          </w:p>
        </w:tc>
        <w:tc>
          <w:tcPr>
            <w:tcW w:w="3544" w:type="dxa"/>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1...</w:t>
            </w:r>
          </w:p>
        </w:tc>
        <w:tc>
          <w:tcPr>
            <w:tcW w:w="1559" w:type="dxa"/>
            <w:vAlign w:val="center"/>
          </w:tcPr>
          <w:p>
            <w:pPr>
              <w:spacing w:line="360" w:lineRule="auto"/>
              <w:jc w:val="center"/>
              <w:rPr>
                <w:rFonts w:cs="仿宋" w:asciiTheme="minorEastAsia" w:hAnsiTheme="minorEastAsia" w:eastAsiaTheme="minorEastAsia"/>
              </w:rPr>
            </w:pPr>
          </w:p>
        </w:tc>
        <w:tc>
          <w:tcPr>
            <w:tcW w:w="1685" w:type="dxa"/>
            <w:vAlign w:val="center"/>
          </w:tcPr>
          <w:p>
            <w:pPr>
              <w:spacing w:line="360" w:lineRule="auto"/>
              <w:jc w:val="center"/>
              <w:rPr>
                <w:rFonts w:cs="仿宋" w:asciiTheme="minorEastAsia" w:hAnsiTheme="minorEastAsia" w:eastAsia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0" w:type="dxa"/>
            <w:vMerge w:val="continue"/>
            <w:vAlign w:val="center"/>
          </w:tcPr>
          <w:p>
            <w:pPr>
              <w:spacing w:line="360" w:lineRule="auto"/>
              <w:jc w:val="center"/>
              <w:rPr>
                <w:rFonts w:cs="仿宋" w:asciiTheme="minorEastAsia" w:hAnsiTheme="minorEastAsia" w:eastAsiaTheme="minorEastAsia"/>
              </w:rPr>
            </w:pPr>
          </w:p>
        </w:tc>
        <w:tc>
          <w:tcPr>
            <w:tcW w:w="3544" w:type="dxa"/>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2...</w:t>
            </w:r>
          </w:p>
        </w:tc>
        <w:tc>
          <w:tcPr>
            <w:tcW w:w="1559" w:type="dxa"/>
            <w:vAlign w:val="center"/>
          </w:tcPr>
          <w:p>
            <w:pPr>
              <w:spacing w:line="360" w:lineRule="auto"/>
              <w:jc w:val="center"/>
              <w:rPr>
                <w:rFonts w:cs="仿宋" w:asciiTheme="minorEastAsia" w:hAnsiTheme="minorEastAsia" w:eastAsiaTheme="minorEastAsia"/>
              </w:rPr>
            </w:pPr>
          </w:p>
        </w:tc>
        <w:tc>
          <w:tcPr>
            <w:tcW w:w="1685" w:type="dxa"/>
            <w:vAlign w:val="center"/>
          </w:tcPr>
          <w:p>
            <w:pPr>
              <w:spacing w:line="360" w:lineRule="auto"/>
              <w:jc w:val="center"/>
              <w:rPr>
                <w:rFonts w:cs="仿宋" w:asciiTheme="minorEastAsia" w:hAnsiTheme="minorEastAsia" w:eastAsia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0" w:type="dxa"/>
            <w:vMerge w:val="continue"/>
            <w:vAlign w:val="center"/>
          </w:tcPr>
          <w:p>
            <w:pPr>
              <w:spacing w:line="360" w:lineRule="auto"/>
              <w:jc w:val="center"/>
              <w:rPr>
                <w:rFonts w:cs="仿宋" w:asciiTheme="minorEastAsia" w:hAnsiTheme="minorEastAsia" w:eastAsiaTheme="minorEastAsia"/>
              </w:rPr>
            </w:pPr>
          </w:p>
        </w:tc>
        <w:tc>
          <w:tcPr>
            <w:tcW w:w="3544" w:type="dxa"/>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3...</w:t>
            </w:r>
          </w:p>
        </w:tc>
        <w:tc>
          <w:tcPr>
            <w:tcW w:w="1559" w:type="dxa"/>
            <w:vAlign w:val="center"/>
          </w:tcPr>
          <w:p>
            <w:pPr>
              <w:spacing w:line="360" w:lineRule="auto"/>
              <w:jc w:val="center"/>
              <w:rPr>
                <w:rFonts w:cs="仿宋" w:asciiTheme="minorEastAsia" w:hAnsiTheme="minorEastAsia" w:eastAsiaTheme="minorEastAsia"/>
              </w:rPr>
            </w:pPr>
          </w:p>
        </w:tc>
        <w:tc>
          <w:tcPr>
            <w:tcW w:w="1685" w:type="dxa"/>
            <w:vAlign w:val="center"/>
          </w:tcPr>
          <w:p>
            <w:pPr>
              <w:spacing w:line="360" w:lineRule="auto"/>
              <w:jc w:val="center"/>
              <w:rPr>
                <w:rFonts w:cs="仿宋" w:asciiTheme="minorEastAsia" w:hAnsiTheme="minorEastAsia" w:eastAsiaTheme="minorEastAsia"/>
              </w:rPr>
            </w:pPr>
          </w:p>
        </w:tc>
      </w:tr>
    </w:tbl>
    <w:p>
      <w:pPr>
        <w:rPr>
          <w:rFonts w:cs="仿宋" w:asciiTheme="minorEastAsia" w:hAnsiTheme="minorEastAsia" w:eastAsiaTheme="minorEastAsia"/>
        </w:rPr>
      </w:pPr>
    </w:p>
    <w:p>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pPr>
        <w:jc w:val="center"/>
        <w:rPr>
          <w:rFonts w:cs="仿宋" w:asciiTheme="minorEastAsia" w:hAnsiTheme="minorEastAsia" w:eastAsiaTheme="minorEastAsia"/>
          <w:b/>
          <w:sz w:val="32"/>
          <w:szCs w:val="36"/>
        </w:rPr>
      </w:pPr>
      <w:r>
        <w:rPr>
          <w:rFonts w:hint="eastAsia" w:cs="仿宋" w:asciiTheme="minorEastAsia" w:hAnsiTheme="minorEastAsia" w:eastAsiaTheme="minorEastAsia"/>
          <w:b/>
          <w:sz w:val="32"/>
          <w:szCs w:val="36"/>
        </w:rPr>
        <w:t>格式1  声 明 函</w:t>
      </w:r>
    </w:p>
    <w:p>
      <w:pPr>
        <w:jc w:val="center"/>
        <w:rPr>
          <w:rFonts w:cs="仿宋" w:asciiTheme="minorEastAsia" w:hAnsiTheme="minorEastAsia" w:eastAsiaTheme="minorEastAsia"/>
          <w:b/>
          <w:sz w:val="36"/>
          <w:szCs w:val="36"/>
        </w:rPr>
      </w:pPr>
    </w:p>
    <w:p>
      <w:pPr>
        <w:adjustRightInd w:val="0"/>
        <w:snapToGrid w:val="0"/>
        <w:spacing w:line="360" w:lineRule="auto"/>
        <w:rPr>
          <w:rFonts w:cs="仿宋" w:asciiTheme="minorEastAsia" w:hAnsiTheme="minorEastAsia" w:eastAsiaTheme="minorEastAsia"/>
        </w:rPr>
      </w:pPr>
      <w:r>
        <w:rPr>
          <w:rFonts w:hint="eastAsia" w:cs="仿宋" w:asciiTheme="minorEastAsia" w:hAnsiTheme="minorEastAsia" w:eastAsiaTheme="minorEastAsia"/>
        </w:rPr>
        <w:t>深圳市中正招标有限公司：</w:t>
      </w:r>
    </w:p>
    <w:p>
      <w:pPr>
        <w:adjustRightInd w:val="0"/>
        <w:snapToGrid w:val="0"/>
        <w:spacing w:line="360" w:lineRule="auto"/>
        <w:rPr>
          <w:rFonts w:cs="仿宋" w:asciiTheme="minorEastAsia" w:hAnsiTheme="minorEastAsia" w:eastAsiaTheme="minorEastAsia"/>
        </w:rPr>
      </w:pPr>
      <w:r>
        <w:rPr>
          <w:rFonts w:hint="eastAsia" w:cs="仿宋" w:asciiTheme="minorEastAsia" w:hAnsiTheme="minorEastAsia" w:eastAsiaTheme="minorEastAsia"/>
        </w:rPr>
        <w:t xml:space="preserve">    我们收到你们组织的 （</w:t>
      </w:r>
      <w:r>
        <w:rPr>
          <w:rFonts w:hint="eastAsia" w:cs="仿宋" w:asciiTheme="minorEastAsia" w:hAnsiTheme="minorEastAsia" w:eastAsiaTheme="minorEastAsia"/>
          <w:u w:val="single"/>
        </w:rPr>
        <w:t xml:space="preserve">项目名称：    </w:t>
      </w:r>
      <w:r>
        <w:rPr>
          <w:rFonts w:hint="eastAsia" w:cs="仿宋" w:asciiTheme="minorEastAsia" w:hAnsiTheme="minorEastAsia" w:eastAsiaTheme="minorEastAsia"/>
        </w:rPr>
        <w:t>）征集文件，经详细研究，我们决定参加该项目 （</w:t>
      </w:r>
      <w:r>
        <w:rPr>
          <w:rFonts w:hint="eastAsia" w:cs="仿宋" w:asciiTheme="minorEastAsia" w:hAnsiTheme="minorEastAsia" w:eastAsiaTheme="minorEastAsia"/>
          <w:u w:val="single"/>
        </w:rPr>
        <w:t xml:space="preserve">项目编号：    </w:t>
      </w:r>
      <w:r>
        <w:rPr>
          <w:rFonts w:hint="eastAsia" w:cs="仿宋" w:asciiTheme="minorEastAsia" w:hAnsiTheme="minorEastAsia" w:eastAsiaTheme="minorEastAsia"/>
        </w:rPr>
        <w:t>）采购的有关活动并投标。为此，我方谨郑重声明以下诸点，并对之负法律责任。</w:t>
      </w:r>
    </w:p>
    <w:p>
      <w:pPr>
        <w:spacing w:line="360" w:lineRule="auto"/>
        <w:ind w:firstLine="424" w:firstLineChars="202"/>
        <w:jc w:val="left"/>
        <w:rPr>
          <w:rFonts w:cs="仿宋" w:asciiTheme="minorEastAsia" w:hAnsiTheme="minorEastAsia" w:eastAsiaTheme="minorEastAsia"/>
        </w:rPr>
      </w:pPr>
      <w:r>
        <w:rPr>
          <w:rFonts w:hint="eastAsia" w:cs="仿宋" w:asciiTheme="minorEastAsia" w:hAnsiTheme="minorEastAsia" w:eastAsiaTheme="minorEastAsia"/>
        </w:rPr>
        <w:t>1．我方愿以《开标一览表》中填写的投标总价并按照征集文件中的一切要求，承担上述项目的全部工作。</w:t>
      </w:r>
    </w:p>
    <w:p>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2．我方提交的投标文件为：投标书正本两份，副本四份，电子档文件（正本彩色扫描件PDF格式）一份。</w:t>
      </w:r>
    </w:p>
    <w:p>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3．如果我们投标文件被接受，我们将履行征集文件中规定的每一项要求，按期、按质、按量完成任务。</w:t>
      </w:r>
    </w:p>
    <w:p>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4．我们愿意提供采购代理机构在征集文件中要求的所有资料，且所递交的投标文件在投标有效期（即90天）内有效，在此期间内我方的投标有可能中标，我方将受此约束。如果在投标有效期内撤销投标文件，贵司有权无条件不退还本司已提交的项目保证金。</w:t>
      </w:r>
    </w:p>
    <w:p>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5．我们理解，最低报价不是中标的唯一条件。我们认为你们有选择或拒绝任何投标者中标的权利。</w:t>
      </w:r>
    </w:p>
    <w:p>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6．我方愿按《中华人民共和国民法典》履行自己的全部责任。</w:t>
      </w:r>
    </w:p>
    <w:p>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7．我们同意征集文件之规定，遵守有关采购的各项规定。</w:t>
      </w:r>
    </w:p>
    <w:p>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8. 我们同意中标后向采购代理机构支付征集文件要求数额的采购代理服务费。</w:t>
      </w:r>
    </w:p>
    <w:p>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9．所有有关本标书的函电，请按下列地址联系：</w:t>
      </w:r>
    </w:p>
    <w:p>
      <w:pPr>
        <w:adjustRightInd w:val="0"/>
        <w:snapToGrid w:val="0"/>
        <w:spacing w:line="360" w:lineRule="auto"/>
        <w:ind w:firstLine="600"/>
        <w:rPr>
          <w:rFonts w:cs="仿宋" w:asciiTheme="minorEastAsia" w:hAnsiTheme="minorEastAsia" w:eastAsiaTheme="minorEastAsia"/>
        </w:rPr>
      </w:pPr>
    </w:p>
    <w:p>
      <w:pPr>
        <w:adjustRightInd w:val="0"/>
        <w:snapToGrid w:val="0"/>
        <w:spacing w:line="360" w:lineRule="auto"/>
        <w:ind w:firstLine="600"/>
        <w:rPr>
          <w:rFonts w:cs="仿宋" w:asciiTheme="minorEastAsia" w:hAnsiTheme="minorEastAsia" w:eastAsiaTheme="minorEastAsia"/>
        </w:rPr>
      </w:pPr>
      <w:r>
        <w:rPr>
          <w:rFonts w:hint="eastAsia" w:cs="仿宋" w:asciiTheme="minorEastAsia" w:hAnsiTheme="minorEastAsia" w:eastAsiaTheme="minorEastAsia"/>
        </w:rPr>
        <w:t>单    位： （盖章）</w:t>
      </w:r>
    </w:p>
    <w:p>
      <w:pPr>
        <w:adjustRightInd w:val="0"/>
        <w:snapToGrid w:val="0"/>
        <w:spacing w:line="360" w:lineRule="auto"/>
        <w:ind w:firstLine="600"/>
        <w:rPr>
          <w:rFonts w:cs="仿宋" w:asciiTheme="minorEastAsia" w:hAnsiTheme="minorEastAsia" w:eastAsiaTheme="minorEastAsia"/>
        </w:rPr>
      </w:pPr>
      <w:r>
        <w:rPr>
          <w:rFonts w:hint="eastAsia" w:cs="仿宋" w:asciiTheme="minorEastAsia" w:hAnsiTheme="minorEastAsia" w:eastAsiaTheme="minorEastAsia"/>
        </w:rPr>
        <w:t>授权代表或法定代表人： （签字）</w:t>
      </w:r>
    </w:p>
    <w:p>
      <w:pPr>
        <w:adjustRightInd w:val="0"/>
        <w:snapToGrid w:val="0"/>
        <w:spacing w:line="360" w:lineRule="auto"/>
        <w:ind w:firstLine="600"/>
        <w:rPr>
          <w:rFonts w:cs="仿宋" w:asciiTheme="minorEastAsia" w:hAnsiTheme="minorEastAsia" w:eastAsiaTheme="minorEastAsia"/>
        </w:rPr>
      </w:pPr>
      <w:r>
        <w:rPr>
          <w:rFonts w:hint="eastAsia" w:cs="仿宋" w:asciiTheme="minorEastAsia" w:hAnsiTheme="minorEastAsia" w:eastAsiaTheme="minorEastAsia"/>
        </w:rPr>
        <w:t>地    址：</w:t>
      </w:r>
    </w:p>
    <w:p>
      <w:pPr>
        <w:adjustRightInd w:val="0"/>
        <w:snapToGrid w:val="0"/>
        <w:spacing w:line="360" w:lineRule="auto"/>
        <w:ind w:firstLine="600"/>
        <w:rPr>
          <w:rFonts w:cs="仿宋" w:asciiTheme="minorEastAsia" w:hAnsiTheme="minorEastAsia" w:eastAsiaTheme="minorEastAsia"/>
        </w:rPr>
      </w:pPr>
      <w:r>
        <w:rPr>
          <w:rFonts w:hint="eastAsia" w:cs="仿宋" w:asciiTheme="minorEastAsia" w:hAnsiTheme="minorEastAsia" w:eastAsiaTheme="minorEastAsia"/>
        </w:rPr>
        <w:t>电    话：</w:t>
      </w:r>
    </w:p>
    <w:p>
      <w:pPr>
        <w:adjustRightInd w:val="0"/>
        <w:snapToGrid w:val="0"/>
        <w:spacing w:line="360" w:lineRule="auto"/>
        <w:ind w:firstLine="600"/>
        <w:rPr>
          <w:rFonts w:cs="仿宋" w:asciiTheme="minorEastAsia" w:hAnsiTheme="minorEastAsia" w:eastAsiaTheme="minorEastAsia"/>
        </w:rPr>
      </w:pPr>
      <w:r>
        <w:rPr>
          <w:rFonts w:hint="eastAsia" w:cs="仿宋" w:asciiTheme="minorEastAsia" w:hAnsiTheme="minorEastAsia" w:eastAsiaTheme="minorEastAsia"/>
        </w:rPr>
        <w:t>联 系 人：</w:t>
      </w:r>
    </w:p>
    <w:p>
      <w:pPr>
        <w:jc w:val="right"/>
        <w:rPr>
          <w:rFonts w:cs="仿宋" w:asciiTheme="minorEastAsia" w:hAnsiTheme="minorEastAsia" w:eastAsiaTheme="minorEastAsia"/>
        </w:rPr>
      </w:pPr>
      <w:r>
        <w:rPr>
          <w:rFonts w:hint="eastAsia" w:cs="仿宋" w:asciiTheme="minorEastAsia" w:hAnsiTheme="minorEastAsia" w:eastAsiaTheme="minorEastAsia"/>
        </w:rPr>
        <w:t>年    月    日</w:t>
      </w:r>
    </w:p>
    <w:p>
      <w:pPr>
        <w:jc w:val="left"/>
        <w:rPr>
          <w:rFonts w:cs="仿宋" w:asciiTheme="minorEastAsia" w:hAnsiTheme="minorEastAsia" w:eastAsiaTheme="minorEastAsia"/>
        </w:rPr>
      </w:pPr>
    </w:p>
    <w:p>
      <w:pPr>
        <w:widowControl/>
        <w:jc w:val="left"/>
        <w:rPr>
          <w:rFonts w:cs="仿宋" w:asciiTheme="minorEastAsia" w:hAnsiTheme="minorEastAsia" w:eastAsiaTheme="minorEastAsia"/>
          <w:b/>
          <w:sz w:val="32"/>
          <w:szCs w:val="36"/>
        </w:rPr>
      </w:pPr>
      <w:r>
        <w:rPr>
          <w:rFonts w:hint="eastAsia" w:cs="仿宋" w:asciiTheme="minorEastAsia" w:hAnsiTheme="minorEastAsia" w:eastAsiaTheme="minorEastAsia"/>
          <w:b/>
          <w:sz w:val="32"/>
          <w:szCs w:val="36"/>
        </w:rPr>
        <w:br w:type="page"/>
      </w:r>
    </w:p>
    <w:p>
      <w:pPr>
        <w:jc w:val="center"/>
        <w:rPr>
          <w:rFonts w:cs="仿宋" w:asciiTheme="minorEastAsia" w:hAnsiTheme="minorEastAsia" w:eastAsiaTheme="minorEastAsia"/>
          <w:b/>
          <w:sz w:val="32"/>
          <w:szCs w:val="36"/>
        </w:rPr>
      </w:pPr>
      <w:r>
        <w:rPr>
          <w:rFonts w:hint="eastAsia" w:cs="仿宋" w:asciiTheme="minorEastAsia" w:hAnsiTheme="minorEastAsia" w:eastAsiaTheme="minorEastAsia"/>
          <w:b/>
          <w:sz w:val="32"/>
          <w:szCs w:val="36"/>
        </w:rPr>
        <w:t>格式2  投标供应商资格证明文件</w:t>
      </w:r>
    </w:p>
    <w:p>
      <w:pPr>
        <w:ind w:firstLine="1274" w:firstLineChars="607"/>
        <w:rPr>
          <w:rFonts w:cs="仿宋" w:asciiTheme="minorEastAsia" w:hAnsiTheme="minorEastAsia" w:eastAsiaTheme="minorEastAsia"/>
        </w:rPr>
      </w:pPr>
    </w:p>
    <w:p>
      <w:pPr>
        <w:spacing w:line="360" w:lineRule="auto"/>
        <w:ind w:firstLine="1279" w:firstLineChars="455"/>
        <w:rPr>
          <w:rFonts w:cs="仿宋" w:asciiTheme="minorEastAsia" w:hAnsiTheme="minorEastAsia" w:eastAsiaTheme="minorEastAsia"/>
          <w:b/>
          <w:sz w:val="28"/>
        </w:rPr>
      </w:pPr>
    </w:p>
    <w:p>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1、</w:t>
      </w:r>
      <w:r>
        <w:rPr>
          <w:rFonts w:hint="eastAsia" w:cs="仿宋" w:asciiTheme="minorEastAsia" w:hAnsiTheme="minorEastAsia" w:eastAsiaTheme="minorEastAsia"/>
          <w:bCs/>
        </w:rPr>
        <w:t>营业执照或法人证书</w:t>
      </w:r>
      <w:r>
        <w:rPr>
          <w:rFonts w:hint="eastAsia" w:cs="仿宋" w:asciiTheme="minorEastAsia" w:hAnsiTheme="minorEastAsia" w:eastAsiaTheme="minorEastAsia"/>
          <w:bCs/>
          <w:szCs w:val="21"/>
        </w:rPr>
        <w:t>或总公司授权证明</w:t>
      </w:r>
      <w:r>
        <w:rPr>
          <w:rFonts w:hint="eastAsia" w:cs="仿宋" w:asciiTheme="minorEastAsia" w:hAnsiTheme="minorEastAsia" w:eastAsiaTheme="minorEastAsia"/>
          <w:bCs/>
        </w:rPr>
        <w:t>等证明文件【扫描件或复印件】</w:t>
      </w:r>
    </w:p>
    <w:p>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2、</w:t>
      </w:r>
      <w:r>
        <w:rPr>
          <w:rFonts w:hint="eastAsia" w:cs="仿宋" w:asciiTheme="minorEastAsia" w:hAnsiTheme="minorEastAsia" w:eastAsiaTheme="minorEastAsia"/>
          <w:bCs/>
        </w:rPr>
        <w:t>法定代表人（负责人）证明书【原件】</w:t>
      </w:r>
    </w:p>
    <w:p>
      <w:pPr>
        <w:spacing w:line="360" w:lineRule="auto"/>
        <w:ind w:firstLine="424" w:firstLineChars="202"/>
        <w:rPr>
          <w:rFonts w:cs="仿宋" w:asciiTheme="minorEastAsia" w:hAnsiTheme="minorEastAsia" w:eastAsiaTheme="minorEastAsia"/>
          <w:bCs/>
        </w:rPr>
      </w:pPr>
      <w:r>
        <w:rPr>
          <w:rFonts w:hint="eastAsia" w:cs="仿宋" w:asciiTheme="minorEastAsia" w:hAnsiTheme="minorEastAsia" w:eastAsiaTheme="minorEastAsia"/>
        </w:rPr>
        <w:t>3、</w:t>
      </w:r>
      <w:r>
        <w:rPr>
          <w:rFonts w:hint="eastAsia" w:cs="仿宋" w:asciiTheme="minorEastAsia" w:hAnsiTheme="minorEastAsia" w:eastAsiaTheme="minorEastAsia"/>
          <w:bCs/>
        </w:rPr>
        <w:t>法定代表人（负责人）授权委托书【原件】</w:t>
      </w:r>
    </w:p>
    <w:p>
      <w:pPr>
        <w:spacing w:line="360" w:lineRule="auto"/>
        <w:ind w:firstLine="424" w:firstLineChars="202"/>
        <w:rPr>
          <w:rFonts w:cs="仿宋" w:asciiTheme="minorEastAsia" w:hAnsiTheme="minorEastAsia" w:eastAsiaTheme="minorEastAsia"/>
          <w:bCs/>
        </w:rPr>
      </w:pPr>
      <w:r>
        <w:rPr>
          <w:rFonts w:hint="eastAsia" w:cs="仿宋" w:asciiTheme="minorEastAsia" w:hAnsiTheme="minorEastAsia" w:eastAsiaTheme="minorEastAsia"/>
          <w:bCs/>
        </w:rPr>
        <w:t>4、承诺函【详见格式《承诺函》】</w:t>
      </w:r>
    </w:p>
    <w:p>
      <w:pPr>
        <w:spacing w:line="360" w:lineRule="auto"/>
        <w:ind w:firstLine="424" w:firstLineChars="202"/>
        <w:rPr>
          <w:rFonts w:cs="仿宋" w:asciiTheme="minorEastAsia" w:hAnsiTheme="minorEastAsia" w:eastAsiaTheme="minorEastAsia"/>
          <w:bCs/>
        </w:rPr>
      </w:pPr>
      <w:r>
        <w:rPr>
          <w:rFonts w:hint="eastAsia" w:cs="仿宋" w:asciiTheme="minorEastAsia" w:hAnsiTheme="minorEastAsia" w:eastAsiaTheme="minorEastAsia"/>
          <w:bCs/>
        </w:rPr>
        <w:t>5、</w:t>
      </w:r>
      <w:r>
        <w:rPr>
          <w:rFonts w:hint="eastAsia" w:cs="仿宋" w:asciiTheme="minorEastAsia" w:hAnsiTheme="minorEastAsia" w:eastAsiaTheme="minorEastAsia"/>
          <w:bCs/>
          <w:szCs w:val="21"/>
        </w:rPr>
        <w:t>未被列入失信被执行人、重大税收违法案件当事人名单和政府采购严重违法失信行为记录名单</w:t>
      </w:r>
      <w:r>
        <w:rPr>
          <w:rFonts w:hint="eastAsia" w:cs="仿宋" w:asciiTheme="minorEastAsia" w:hAnsiTheme="minorEastAsia" w:eastAsiaTheme="minorEastAsia"/>
          <w:bCs/>
        </w:rPr>
        <w:t>信用查询截图</w:t>
      </w:r>
    </w:p>
    <w:p>
      <w:pPr>
        <w:spacing w:line="360" w:lineRule="auto"/>
        <w:ind w:firstLine="424" w:firstLineChars="202"/>
        <w:rPr>
          <w:rFonts w:cs="仿宋" w:asciiTheme="minorEastAsia" w:hAnsiTheme="minorEastAsia" w:eastAsiaTheme="minorEastAsia"/>
          <w:bCs/>
        </w:rPr>
      </w:pPr>
      <w:r>
        <w:rPr>
          <w:rFonts w:hint="eastAsia" w:cs="仿宋" w:asciiTheme="minorEastAsia" w:hAnsiTheme="minorEastAsia" w:eastAsiaTheme="minorEastAsia"/>
          <w:bCs/>
        </w:rPr>
        <w:t>6、国家企业信用信息公示系统（https://www.gsxt.gov.cn/index.html）或机关赋码和事业单位登记管理网（http://www.gjsy.gov.cn/sydwfrxxcx/）或全国社会组织信用信息公示平台（https://xxgs.chinanpo.mca.gov.cn/gsxt/newList）网站供应商信息查询截图</w:t>
      </w:r>
    </w:p>
    <w:p>
      <w:pPr>
        <w:spacing w:line="360" w:lineRule="auto"/>
        <w:ind w:firstLine="424" w:firstLineChars="202"/>
        <w:rPr>
          <w:rFonts w:cs="仿宋" w:asciiTheme="minorEastAsia" w:hAnsiTheme="minorEastAsia" w:eastAsiaTheme="minorEastAsia"/>
          <w:bCs/>
        </w:rPr>
      </w:pPr>
      <w:r>
        <w:rPr>
          <w:rFonts w:hint="eastAsia" w:cs="仿宋" w:asciiTheme="minorEastAsia" w:hAnsiTheme="minorEastAsia" w:eastAsiaTheme="minorEastAsia"/>
          <w:bCs/>
        </w:rPr>
        <w:t>7、其他【如有，按采购公告“申请人的资格要求”提供】</w:t>
      </w:r>
    </w:p>
    <w:p>
      <w:pPr>
        <w:adjustRightInd w:val="0"/>
        <w:snapToGrid w:val="0"/>
        <w:spacing w:line="360" w:lineRule="auto"/>
        <w:ind w:firstLine="991" w:firstLineChars="472"/>
        <w:rPr>
          <w:rFonts w:cs="仿宋" w:asciiTheme="minorEastAsia" w:hAnsiTheme="minorEastAsia" w:eastAsiaTheme="minorEastAsia"/>
          <w:bCs/>
        </w:rPr>
      </w:pPr>
    </w:p>
    <w:p>
      <w:pPr>
        <w:spacing w:line="360" w:lineRule="auto"/>
        <w:ind w:left="1394" w:leftChars="474" w:hanging="399" w:hangingChars="190"/>
        <w:rPr>
          <w:rFonts w:cs="仿宋" w:asciiTheme="minorEastAsia" w:hAnsiTheme="minorEastAsia" w:eastAsiaTheme="minorEastAsia"/>
          <w:bCs/>
        </w:rPr>
      </w:pPr>
    </w:p>
    <w:p>
      <w:pPr>
        <w:spacing w:line="360" w:lineRule="auto"/>
        <w:ind w:left="1415" w:leftChars="204" w:hanging="987" w:hangingChars="447"/>
        <w:rPr>
          <w:rFonts w:cs="仿宋" w:asciiTheme="minorEastAsia" w:hAnsiTheme="minorEastAsia" w:eastAsiaTheme="minorEastAsia"/>
          <w:b/>
          <w:bCs/>
          <w:color w:val="FF0000"/>
          <w:sz w:val="22"/>
        </w:rPr>
      </w:pPr>
      <w:r>
        <w:rPr>
          <w:rFonts w:hint="eastAsia" w:cs="仿宋" w:asciiTheme="minorEastAsia" w:hAnsiTheme="minorEastAsia" w:eastAsiaTheme="minorEastAsia"/>
          <w:b/>
          <w:bCs/>
          <w:color w:val="FF0000"/>
          <w:sz w:val="22"/>
        </w:rPr>
        <w:t>注：以上资料均须加盖投标供应商公章，原件备查</w:t>
      </w:r>
    </w:p>
    <w:p>
      <w:pPr>
        <w:spacing w:line="360" w:lineRule="auto"/>
        <w:ind w:left="1415" w:leftChars="474" w:hanging="420" w:hangingChars="190"/>
        <w:rPr>
          <w:rFonts w:cs="仿宋" w:asciiTheme="minorEastAsia" w:hAnsiTheme="minorEastAsia" w:eastAsiaTheme="minorEastAsia"/>
          <w:b/>
          <w:bCs/>
          <w:color w:val="FF0000"/>
          <w:sz w:val="22"/>
        </w:rPr>
      </w:pPr>
    </w:p>
    <w:p>
      <w:pPr>
        <w:widowControl/>
        <w:jc w:val="left"/>
        <w:rPr>
          <w:rFonts w:cs="仿宋" w:asciiTheme="minorEastAsia" w:hAnsiTheme="minorEastAsia" w:eastAsiaTheme="minorEastAsia"/>
          <w:b/>
          <w:bCs/>
          <w:color w:val="FF0000"/>
          <w:sz w:val="22"/>
        </w:rPr>
      </w:pPr>
      <w:r>
        <w:rPr>
          <w:rFonts w:hint="eastAsia" w:cs="仿宋" w:asciiTheme="minorEastAsia" w:hAnsiTheme="minorEastAsia" w:eastAsiaTheme="minorEastAsia"/>
          <w:b/>
          <w:bCs/>
          <w:color w:val="FF0000"/>
          <w:sz w:val="22"/>
        </w:rPr>
        <w:br w:type="page"/>
      </w:r>
    </w:p>
    <w:p>
      <w:pPr>
        <w:adjustRightInd w:val="0"/>
        <w:spacing w:line="300" w:lineRule="auto"/>
        <w:ind w:hanging="2"/>
        <w:jc w:val="center"/>
        <w:rPr>
          <w:rFonts w:cs="仿宋" w:asciiTheme="minorEastAsia" w:hAnsiTheme="minorEastAsia" w:eastAsiaTheme="minorEastAsia"/>
        </w:rPr>
      </w:pPr>
      <w:r>
        <w:rPr>
          <w:rFonts w:hint="eastAsia" w:cs="仿宋" w:asciiTheme="minorEastAsia" w:hAnsiTheme="minorEastAsia" w:eastAsiaTheme="minorEastAsia"/>
          <w:b/>
          <w:snapToGrid w:val="0"/>
          <w:kern w:val="0"/>
          <w:sz w:val="28"/>
        </w:rPr>
        <w:t>承诺函</w:t>
      </w:r>
    </w:p>
    <w:p>
      <w:pPr>
        <w:spacing w:line="400" w:lineRule="exact"/>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深圳市中正招标有限公司：</w:t>
      </w:r>
    </w:p>
    <w:p>
      <w:pPr>
        <w:spacing w:line="400" w:lineRule="exact"/>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我单位承诺：</w:t>
      </w:r>
    </w:p>
    <w:p>
      <w:pPr>
        <w:spacing w:line="40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1.我单位参与本项目</w:t>
      </w:r>
      <w:r>
        <w:rPr>
          <w:rFonts w:hint="eastAsia" w:cs="仿宋" w:asciiTheme="minorEastAsia" w:hAnsiTheme="minorEastAsia" w:eastAsiaTheme="minorEastAsia"/>
          <w:snapToGrid w:val="0"/>
        </w:rPr>
        <w:t>采购活动</w:t>
      </w:r>
      <w:r>
        <w:rPr>
          <w:rFonts w:hint="eastAsia" w:cs="仿宋" w:asciiTheme="minorEastAsia" w:hAnsiTheme="minorEastAsia" w:eastAsiaTheme="minorEastAsia"/>
          <w:szCs w:val="21"/>
        </w:rPr>
        <w:t>前三年内，在经营活动中没有重大违法记录。</w:t>
      </w:r>
    </w:p>
    <w:p>
      <w:pPr>
        <w:spacing w:line="400" w:lineRule="exact"/>
        <w:ind w:firstLine="420" w:firstLineChars="200"/>
        <w:rPr>
          <w:rFonts w:cs="仿宋" w:asciiTheme="minorEastAsia" w:hAnsiTheme="minorEastAsia" w:eastAsiaTheme="minorEastAsia"/>
        </w:rPr>
      </w:pPr>
      <w:r>
        <w:rPr>
          <w:rFonts w:hint="eastAsia" w:cs="仿宋" w:asciiTheme="minorEastAsia" w:hAnsiTheme="minorEastAsia" w:eastAsiaTheme="minorEastAsia"/>
          <w:szCs w:val="21"/>
        </w:rPr>
        <w:t>2.我单位参与本项目</w:t>
      </w:r>
      <w:r>
        <w:rPr>
          <w:rFonts w:hint="eastAsia" w:cs="仿宋" w:asciiTheme="minorEastAsia" w:hAnsiTheme="minorEastAsia" w:eastAsiaTheme="minorEastAsia"/>
        </w:rPr>
        <w:t>采购活动时不存在被有关部门禁止参与政府采购活动且在有效期内的情况。</w:t>
      </w:r>
    </w:p>
    <w:p>
      <w:pPr>
        <w:spacing w:line="40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3.我单位满足《中华人民共和国政府采购法》第二十二条规定</w:t>
      </w:r>
      <w:r>
        <w:rPr>
          <w:rFonts w:hint="eastAsia" w:cs="仿宋" w:asciiTheme="minorEastAsia" w:hAnsiTheme="minorEastAsia" w:eastAsiaTheme="minorEastAsia"/>
        </w:rPr>
        <w:t>。</w:t>
      </w:r>
    </w:p>
    <w:p>
      <w:pPr>
        <w:spacing w:line="40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4.我单位</w:t>
      </w:r>
      <w:r>
        <w:rPr>
          <w:rFonts w:hint="eastAsia" w:cs="仿宋" w:asciiTheme="minorEastAsia" w:hAnsiTheme="minorEastAsia" w:eastAsiaTheme="minorEastAsia"/>
          <w:snapToGrid w:val="0"/>
          <w:szCs w:val="18"/>
        </w:rPr>
        <w:t>与其他投标供应商不存在“单位负责人为同一人或者存在直接控股、管理关系”的情况；</w:t>
      </w:r>
      <w:r>
        <w:rPr>
          <w:rFonts w:hint="eastAsia" w:cs="仿宋" w:asciiTheme="minorEastAsia" w:hAnsiTheme="minorEastAsia" w:eastAsiaTheme="minorEastAsia"/>
          <w:bCs/>
          <w:szCs w:val="21"/>
        </w:rPr>
        <w:t>除单一来源采购项目外，如为采购项目提供整体设计、规范编制或者项目管理、监理、检测等服务，不再参加该采购项目的其他采购活动</w:t>
      </w:r>
      <w:r>
        <w:rPr>
          <w:rFonts w:hint="eastAsia" w:cs="仿宋" w:asciiTheme="minorEastAsia" w:hAnsiTheme="minorEastAsia" w:eastAsiaTheme="minorEastAsia"/>
        </w:rPr>
        <w:t>。</w:t>
      </w:r>
    </w:p>
    <w:p>
      <w:pPr>
        <w:spacing w:line="40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5.我单位承诺非联合体投标，不非法转包或分包。</w:t>
      </w:r>
    </w:p>
    <w:p>
      <w:pPr>
        <w:spacing w:line="40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6.我单位参与本项目所提供的货物或服务未侵犯知识产权。</w:t>
      </w:r>
    </w:p>
    <w:p>
      <w:pPr>
        <w:spacing w:line="40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7.我单位参与该项目投标，严格遵循公平竞争的原则，不恶意串通，不妨碍其他投标供应商的竞争行为，不损害采购人或者其他投标供应商的合法权益。我单位已清楚，如违反上述要求，将作投标无效处理。</w:t>
      </w:r>
    </w:p>
    <w:p>
      <w:pPr>
        <w:spacing w:line="40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8.我单位如果中标，做到守信，不偷工减料，依照本项目征集文件需求内容、签署的采购合同及本单位在投标中所作的一切承诺履约。</w:t>
      </w:r>
    </w:p>
    <w:p>
      <w:pPr>
        <w:spacing w:line="40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0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以上承诺，如有违反，愿依照相关法律法规处理，并承担由此给采购人带来的损失。</w:t>
      </w:r>
    </w:p>
    <w:p>
      <w:pPr>
        <w:spacing w:line="360" w:lineRule="auto"/>
        <w:ind w:firstLine="600"/>
        <w:rPr>
          <w:rFonts w:cs="仿宋" w:asciiTheme="minorEastAsia" w:hAnsiTheme="minorEastAsia" w:eastAsiaTheme="minorEastAsia"/>
          <w:snapToGrid w:val="0"/>
          <w:szCs w:val="18"/>
        </w:rPr>
      </w:pPr>
    </w:p>
    <w:p>
      <w:pPr>
        <w:adjustRightInd w:val="0"/>
        <w:snapToGrid w:val="0"/>
        <w:spacing w:line="30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投标供应商：（盖章）</w:t>
      </w:r>
    </w:p>
    <w:p>
      <w:pPr>
        <w:adjustRightInd w:val="0"/>
        <w:snapToGrid w:val="0"/>
        <w:spacing w:line="300" w:lineRule="auto"/>
        <w:rPr>
          <w:rFonts w:cs="仿宋" w:asciiTheme="minorEastAsia" w:hAnsiTheme="minorEastAsia" w:eastAsiaTheme="minorEastAsia"/>
          <w:snapToGrid w:val="0"/>
          <w:kern w:val="0"/>
        </w:rPr>
      </w:pPr>
    </w:p>
    <w:p>
      <w:pPr>
        <w:adjustRightInd w:val="0"/>
        <w:snapToGrid w:val="0"/>
        <w:spacing w:line="300" w:lineRule="auto"/>
        <w:rPr>
          <w:rFonts w:cs="仿宋" w:asciiTheme="minorEastAsia" w:hAnsiTheme="minorEastAsia" w:eastAsiaTheme="minorEastAsia"/>
          <w:snapToGrid w:val="0"/>
          <w:kern w:val="0"/>
        </w:rPr>
      </w:pPr>
    </w:p>
    <w:p>
      <w:pPr>
        <w:adjustRightInd w:val="0"/>
        <w:snapToGrid w:val="0"/>
        <w:spacing w:line="30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授权代表或法定代表人：（签字）</w:t>
      </w:r>
    </w:p>
    <w:p>
      <w:pPr>
        <w:adjustRightInd w:val="0"/>
        <w:snapToGrid w:val="0"/>
        <w:spacing w:line="300" w:lineRule="auto"/>
        <w:rPr>
          <w:rFonts w:cs="仿宋" w:asciiTheme="minorEastAsia" w:hAnsiTheme="minorEastAsia" w:eastAsiaTheme="minorEastAsia"/>
          <w:snapToGrid w:val="0"/>
          <w:kern w:val="0"/>
        </w:rPr>
      </w:pPr>
    </w:p>
    <w:p>
      <w:pPr>
        <w:adjustRightInd w:val="0"/>
        <w:snapToGrid w:val="0"/>
        <w:spacing w:line="300" w:lineRule="auto"/>
        <w:ind w:right="420"/>
        <w:rPr>
          <w:rFonts w:cs="仿宋" w:asciiTheme="minorEastAsia" w:hAnsiTheme="minorEastAsia" w:eastAsiaTheme="minorEastAsia"/>
          <w:snapToGrid w:val="0"/>
          <w:kern w:val="0"/>
        </w:rPr>
      </w:pPr>
    </w:p>
    <w:p>
      <w:pPr>
        <w:snapToGrid w:val="0"/>
        <w:spacing w:line="360" w:lineRule="auto"/>
        <w:ind w:left="560"/>
        <w:jc w:val="right"/>
        <w:rPr>
          <w:rFonts w:cs="仿宋" w:asciiTheme="minorEastAsia" w:hAnsiTheme="minorEastAsia" w:eastAsiaTheme="minorEastAsia"/>
          <w:bCs/>
        </w:rPr>
      </w:pPr>
      <w:r>
        <w:rPr>
          <w:rFonts w:hint="eastAsia" w:cs="仿宋" w:asciiTheme="minorEastAsia" w:hAnsiTheme="minorEastAsia" w:eastAsiaTheme="minorEastAsia"/>
        </w:rPr>
        <w:t>年     月    日</w:t>
      </w:r>
    </w:p>
    <w:p>
      <w:pPr>
        <w:rPr>
          <w:rFonts w:cs="仿宋" w:asciiTheme="minorEastAsia" w:hAnsiTheme="minorEastAsia" w:eastAsiaTheme="minorEastAsia"/>
          <w:bCs/>
        </w:rPr>
      </w:pPr>
      <w:r>
        <w:rPr>
          <w:rFonts w:hint="eastAsia" w:cs="仿宋" w:asciiTheme="minorEastAsia" w:hAnsiTheme="minorEastAsia" w:eastAsiaTheme="minorEastAsia"/>
          <w:bCs/>
        </w:rPr>
        <w:br w:type="page"/>
      </w:r>
    </w:p>
    <w:p>
      <w:pPr>
        <w:adjustRightInd w:val="0"/>
        <w:snapToGrid w:val="0"/>
        <w:spacing w:line="360" w:lineRule="auto"/>
        <w:ind w:firstLine="991" w:firstLineChars="472"/>
        <w:jc w:val="right"/>
        <w:rPr>
          <w:rFonts w:cs="仿宋" w:asciiTheme="minorEastAsia" w:hAnsiTheme="minorEastAsia" w:eastAsiaTheme="minorEastAsia"/>
          <w:bCs/>
        </w:rPr>
      </w:pPr>
    </w:p>
    <w:p>
      <w:pPr>
        <w:widowControl/>
        <w:jc w:val="left"/>
        <w:rPr>
          <w:rFonts w:cs="仿宋" w:asciiTheme="minorEastAsia" w:hAnsiTheme="minorEastAsia" w:eastAsiaTheme="minorEastAsia"/>
        </w:rPr>
      </w:pPr>
    </w:p>
    <w:p>
      <w:pPr>
        <w:jc w:val="center"/>
        <w:rPr>
          <w:rFonts w:cs="仿宋" w:asciiTheme="minorEastAsia" w:hAnsiTheme="minorEastAsia" w:eastAsiaTheme="minorEastAsia"/>
          <w:b/>
          <w:sz w:val="32"/>
          <w:szCs w:val="36"/>
        </w:rPr>
      </w:pPr>
      <w:r>
        <w:rPr>
          <w:rFonts w:hint="eastAsia" w:cs="仿宋" w:asciiTheme="minorEastAsia" w:hAnsiTheme="minorEastAsia" w:eastAsiaTheme="minorEastAsia"/>
          <w:b/>
          <w:sz w:val="32"/>
          <w:szCs w:val="36"/>
        </w:rPr>
        <w:t>法定代表人（负责人）证明书（格式）</w:t>
      </w:r>
    </w:p>
    <w:p>
      <w:pPr>
        <w:jc w:val="center"/>
        <w:rPr>
          <w:rFonts w:cs="仿宋" w:asciiTheme="minorEastAsia" w:hAnsiTheme="minorEastAsia" w:eastAsiaTheme="minorEastAsia"/>
          <w:b/>
          <w:sz w:val="32"/>
          <w:szCs w:val="36"/>
        </w:rPr>
      </w:pPr>
    </w:p>
    <w:p>
      <w:pPr>
        <w:tabs>
          <w:tab w:val="left" w:pos="900"/>
        </w:tabs>
        <w:spacing w:line="360" w:lineRule="auto"/>
        <w:ind w:firstLine="630" w:firstLineChars="300"/>
        <w:rPr>
          <w:rFonts w:cs="仿宋" w:asciiTheme="minorEastAsia" w:hAnsiTheme="minorEastAsia" w:eastAsiaTheme="minorEastAsia"/>
        </w:rPr>
      </w:pP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同志，现任我单位</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职务，为法定代表人（负责人），特此证明。</w:t>
      </w: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有效日期与本公司投标文件中标注的投标有效期相同。签发日期：</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月</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附：</w:t>
      </w:r>
    </w:p>
    <w:p>
      <w:pPr>
        <w:spacing w:line="360" w:lineRule="auto"/>
        <w:ind w:firstLine="840" w:firstLineChars="400"/>
        <w:rPr>
          <w:rFonts w:cs="仿宋" w:asciiTheme="minorEastAsia" w:hAnsiTheme="minorEastAsia" w:eastAsiaTheme="minorEastAsia"/>
        </w:rPr>
      </w:pPr>
      <w:r>
        <w:rPr>
          <w:rFonts w:hint="eastAsia" w:cs="仿宋" w:asciiTheme="minorEastAsia" w:hAnsiTheme="minorEastAsia" w:eastAsiaTheme="minorEastAsia"/>
        </w:rPr>
        <w:t xml:space="preserve">营业执照（注册号）： </w:t>
      </w:r>
    </w:p>
    <w:p>
      <w:pPr>
        <w:spacing w:line="360" w:lineRule="auto"/>
        <w:ind w:firstLine="840" w:firstLineChars="400"/>
        <w:rPr>
          <w:rFonts w:cs="仿宋" w:asciiTheme="minorEastAsia" w:hAnsiTheme="minorEastAsia" w:eastAsiaTheme="minorEastAsia"/>
        </w:rPr>
      </w:pPr>
      <w:r>
        <w:rPr>
          <w:rFonts w:hint="eastAsia" w:cs="仿宋" w:asciiTheme="minorEastAsia" w:hAnsiTheme="minorEastAsia" w:eastAsiaTheme="minorEastAsia"/>
        </w:rPr>
        <w:t>经济性质：</w:t>
      </w:r>
    </w:p>
    <w:p>
      <w:pPr>
        <w:spacing w:line="360" w:lineRule="auto"/>
        <w:ind w:firstLine="840" w:firstLineChars="400"/>
        <w:rPr>
          <w:rFonts w:cs="仿宋" w:asciiTheme="minorEastAsia" w:hAnsiTheme="minorEastAsia" w:eastAsiaTheme="minorEastAsia"/>
        </w:rPr>
      </w:pPr>
      <w:r>
        <w:rPr>
          <w:rFonts w:hint="eastAsia" w:cs="仿宋" w:asciiTheme="minorEastAsia" w:hAnsiTheme="minorEastAsia" w:eastAsiaTheme="minorEastAsia"/>
        </w:rPr>
        <w:t>主营（产）：</w:t>
      </w:r>
    </w:p>
    <w:p>
      <w:pPr>
        <w:spacing w:line="360" w:lineRule="auto"/>
        <w:ind w:firstLine="840" w:firstLineChars="400"/>
        <w:rPr>
          <w:rFonts w:cs="仿宋" w:asciiTheme="minorEastAsia" w:hAnsiTheme="minorEastAsia" w:eastAsiaTheme="minorEastAsia"/>
        </w:rPr>
      </w:pPr>
      <w:r>
        <w:rPr>
          <w:rFonts w:hint="eastAsia" w:cs="仿宋" w:asciiTheme="minorEastAsia" w:hAnsiTheme="minorEastAsia" w:eastAsiaTheme="minorEastAsia"/>
        </w:rPr>
        <w:t>兼营（产）：</w:t>
      </w:r>
    </w:p>
    <w:p>
      <w:pPr>
        <w:spacing w:line="360" w:lineRule="auto"/>
        <w:jc w:val="right"/>
        <w:rPr>
          <w:rFonts w:cs="仿宋" w:asciiTheme="minorEastAsia" w:hAnsiTheme="minorEastAsia" w:eastAsiaTheme="minorEastAsia"/>
        </w:rPr>
      </w:pPr>
      <w:r>
        <w:rPr>
          <w:rFonts w:hint="eastAsia" w:cs="仿宋" w:asciiTheme="minorEastAsia" w:hAnsiTheme="minorEastAsia" w:eastAsiaTheme="minorEastAsia"/>
        </w:rPr>
        <w:t>单位名称：（公章）：</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w:t>
      </w:r>
    </w:p>
    <w:p>
      <w:pPr>
        <w:spacing w:line="360" w:lineRule="auto"/>
        <w:ind w:firstLine="743" w:firstLineChars="354"/>
        <w:jc w:val="right"/>
        <w:rPr>
          <w:rFonts w:cs="仿宋" w:asciiTheme="minorEastAsia" w:hAnsiTheme="minorEastAsia" w:eastAsiaTheme="minorEastAsia"/>
        </w:rPr>
      </w:pPr>
      <w:r>
        <w:rPr>
          <w:rFonts w:hint="eastAsia" w:cs="仿宋" w:asciiTheme="minorEastAsia" w:hAnsiTheme="minorEastAsia" w:eastAsiaTheme="minorEastAsia"/>
        </w:rPr>
        <w:t>日期：</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 xml:space="preserve">月 </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pPr>
        <w:spacing w:line="360" w:lineRule="auto"/>
        <w:ind w:firstLine="849" w:firstLineChars="354"/>
        <w:jc w:val="right"/>
        <w:rPr>
          <w:rFonts w:cs="仿宋" w:asciiTheme="minorEastAsia" w:hAnsiTheme="minorEastAsia" w:eastAsiaTheme="minorEastAsia"/>
          <w:sz w:val="24"/>
        </w:rPr>
      </w:pPr>
    </w:p>
    <w:p>
      <w:pPr>
        <w:spacing w:line="360" w:lineRule="auto"/>
        <w:rPr>
          <w:rFonts w:cs="仿宋" w:asciiTheme="minorEastAsia" w:hAnsiTheme="minorEastAsia" w:eastAsiaTheme="minorEastAsia"/>
          <w:b/>
          <w:bCs/>
        </w:rPr>
      </w:pPr>
      <w:r>
        <w:rPr>
          <w:rFonts w:cs="仿宋" w:asciiTheme="minorEastAsia" w:hAnsiTheme="minorEastAsia" w:eastAsiaTheme="minorEastAsia"/>
          <w:b/>
          <w:bCs/>
        </w:rPr>
        <mc:AlternateContent>
          <mc:Choice Requires="wps">
            <w:drawing>
              <wp:anchor distT="0" distB="0" distL="114300" distR="114300" simplePos="0" relativeHeight="251661312" behindDoc="0" locked="0" layoutInCell="1" allowOverlap="1">
                <wp:simplePos x="0" y="0"/>
                <wp:positionH relativeFrom="column">
                  <wp:posOffset>2840355</wp:posOffset>
                </wp:positionH>
                <wp:positionV relativeFrom="paragraph">
                  <wp:posOffset>136525</wp:posOffset>
                </wp:positionV>
                <wp:extent cx="2705100" cy="1981200"/>
                <wp:effectExtent l="4445" t="5080" r="14605" b="13970"/>
                <wp:wrapNone/>
                <wp:docPr id="4" name="Rectangle 5"/>
                <wp:cNvGraphicFramePr/>
                <a:graphic xmlns:a="http://schemas.openxmlformats.org/drawingml/2006/main">
                  <a:graphicData uri="http://schemas.microsoft.com/office/word/2010/wordprocessingShape">
                    <wps:wsp>
                      <wps:cNvSpPr/>
                      <wps:spPr>
                        <a:xfrm>
                          <a:off x="0" y="0"/>
                          <a:ext cx="2705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ind w:firstLine="1680" w:firstLineChars="800"/>
                            </w:pPr>
                          </w:p>
                          <w:p>
                            <w:pPr>
                              <w:spacing w:line="360" w:lineRule="auto"/>
                              <w:jc w:val="center"/>
                              <w:rPr>
                                <w:rFonts w:ascii="仿宋" w:hAnsi="仿宋" w:eastAsia="仿宋"/>
                                <w:sz w:val="22"/>
                              </w:rPr>
                            </w:pPr>
                            <w:r>
                              <w:rPr>
                                <w:rFonts w:hint="eastAsia" w:ascii="仿宋" w:hAnsi="仿宋" w:eastAsia="仿宋"/>
                                <w:sz w:val="22"/>
                              </w:rPr>
                              <w:t>法定代表人</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（反面）</w:t>
                            </w:r>
                          </w:p>
                        </w:txbxContent>
                      </wps:txbx>
                      <wps:bodyPr upright="1"/>
                    </wps:wsp>
                  </a:graphicData>
                </a:graphic>
              </wp:anchor>
            </w:drawing>
          </mc:Choice>
          <mc:Fallback>
            <w:pict>
              <v:rect id="Rectangle 5" o:spid="_x0000_s1026" o:spt="1" style="position:absolute;left:0pt;margin-left:223.65pt;margin-top:10.75pt;height:156pt;width:213pt;z-index:251661312;mso-width-relative:page;mso-height-relative:page;" fillcolor="#FFFFFF" filled="t" stroked="t" coordsize="21600,21600" o:gfxdata="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cT0NvZAAAACgEAAA8AAAAAAAAAAQAgAAAAIgAAAGRycy9kb3ducmV2&#10;LnhtbFBLAQIUABQAAAAIAIdO4kCS8KSI+wEAADsEAAAOAAAAAAAAAAEAIAAAACgBAABkcnMvZTJv&#10;RG9jLnhtbFBLBQYAAAAABgAGAFkBAACVBQAAAAA=&#10;">
                <v:fill on="t" focussize="0,0"/>
                <v:stroke color="#000000" joinstyle="miter"/>
                <v:imagedata o:title=""/>
                <o:lock v:ext="edit" aspectratio="f"/>
                <v:textbox>
                  <w:txbxContent>
                    <w:p>
                      <w:pPr>
                        <w:spacing w:line="360" w:lineRule="auto"/>
                        <w:ind w:firstLine="1680" w:firstLineChars="800"/>
                      </w:pPr>
                    </w:p>
                    <w:p>
                      <w:pPr>
                        <w:spacing w:line="360" w:lineRule="auto"/>
                        <w:jc w:val="center"/>
                        <w:rPr>
                          <w:rFonts w:ascii="仿宋" w:hAnsi="仿宋" w:eastAsia="仿宋"/>
                          <w:sz w:val="22"/>
                        </w:rPr>
                      </w:pPr>
                      <w:r>
                        <w:rPr>
                          <w:rFonts w:hint="eastAsia" w:ascii="仿宋" w:hAnsi="仿宋" w:eastAsia="仿宋"/>
                          <w:sz w:val="22"/>
                        </w:rPr>
                        <w:t>法定代表人</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（反面）</w:t>
                      </w:r>
                    </w:p>
                  </w:txbxContent>
                </v:textbox>
              </v:rect>
            </w:pict>
          </mc:Fallback>
        </mc:AlternateContent>
      </w:r>
      <w:r>
        <w:rPr>
          <w:rFonts w:cs="仿宋" w:asciiTheme="minorEastAsia" w:hAnsiTheme="minorEastAsia" w:eastAsiaTheme="minorEastAsia"/>
          <w:b/>
          <w:bCs/>
        </w:rPr>
        <mc:AlternateContent>
          <mc:Choice Requires="wps">
            <w:drawing>
              <wp:anchor distT="0" distB="0" distL="114300" distR="114300" simplePos="0" relativeHeight="251660288" behindDoc="0" locked="0" layoutInCell="1" allowOverlap="1">
                <wp:simplePos x="0" y="0"/>
                <wp:positionH relativeFrom="column">
                  <wp:posOffset>-112395</wp:posOffset>
                </wp:positionH>
                <wp:positionV relativeFrom="paragraph">
                  <wp:posOffset>136525</wp:posOffset>
                </wp:positionV>
                <wp:extent cx="2705100" cy="1981200"/>
                <wp:effectExtent l="4445" t="5080" r="14605" b="13970"/>
                <wp:wrapNone/>
                <wp:docPr id="3" name="Rectangle 4"/>
                <wp:cNvGraphicFramePr/>
                <a:graphic xmlns:a="http://schemas.openxmlformats.org/drawingml/2006/main">
                  <a:graphicData uri="http://schemas.microsoft.com/office/word/2010/wordprocessingShape">
                    <wps:wsp>
                      <wps:cNvSpPr/>
                      <wps:spPr>
                        <a:xfrm>
                          <a:off x="0" y="0"/>
                          <a:ext cx="2705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jc w:val="center"/>
                            </w:pPr>
                          </w:p>
                          <w:p>
                            <w:pPr>
                              <w:spacing w:line="360" w:lineRule="auto"/>
                              <w:jc w:val="center"/>
                              <w:rPr>
                                <w:rFonts w:ascii="仿宋" w:hAnsi="仿宋" w:eastAsia="仿宋"/>
                                <w:sz w:val="22"/>
                              </w:rPr>
                            </w:pPr>
                            <w:r>
                              <w:rPr>
                                <w:rFonts w:hint="eastAsia" w:ascii="仿宋" w:hAnsi="仿宋" w:eastAsia="仿宋"/>
                                <w:sz w:val="22"/>
                              </w:rPr>
                              <w:t>法定代表人</w:t>
                            </w:r>
                            <w:r>
                              <w:rPr>
                                <w:rFonts w:hint="eastAsia" w:ascii="仿宋" w:hAnsi="仿宋" w:eastAsia="仿宋"/>
                              </w:rPr>
                              <w:t>（负责人）</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（正面）</w:t>
                            </w:r>
                          </w:p>
                        </w:txbxContent>
                      </wps:txbx>
                      <wps:bodyPr upright="1"/>
                    </wps:wsp>
                  </a:graphicData>
                </a:graphic>
              </wp:anchor>
            </w:drawing>
          </mc:Choice>
          <mc:Fallback>
            <w:pict>
              <v:rect id="Rectangle 4" o:spid="_x0000_s1026" o:spt="1" style="position:absolute;left:0pt;margin-left:-8.85pt;margin-top:10.75pt;height:156pt;width:213pt;z-index:251660288;mso-width-relative:page;mso-height-relative:page;" fillcolor="#FFFFFF" filled="t" stroked="t" coordsize="21600,21600" o:gfxdata="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E3ErvZAAAACgEAAA8AAAAAAAAAAQAgAAAAIgAAAGRycy9kb3ducmV2&#10;LnhtbFBLAQIUABQAAAAIAIdO4kAPKIls+wEAADsEAAAOAAAAAAAAAAEAIAAAACgBAABkcnMvZTJv&#10;RG9jLnhtbFBLBQYAAAAABgAGAFkBAACVBQAAAAA=&#10;">
                <v:fill on="t" focussize="0,0"/>
                <v:stroke color="#000000" joinstyle="miter"/>
                <v:imagedata o:title=""/>
                <o:lock v:ext="edit" aspectratio="f"/>
                <v:textbox>
                  <w:txbxContent>
                    <w:p>
                      <w:pPr>
                        <w:spacing w:line="360" w:lineRule="auto"/>
                        <w:jc w:val="center"/>
                      </w:pPr>
                    </w:p>
                    <w:p>
                      <w:pPr>
                        <w:spacing w:line="360" w:lineRule="auto"/>
                        <w:jc w:val="center"/>
                        <w:rPr>
                          <w:rFonts w:ascii="仿宋" w:hAnsi="仿宋" w:eastAsia="仿宋"/>
                          <w:sz w:val="22"/>
                        </w:rPr>
                      </w:pPr>
                      <w:r>
                        <w:rPr>
                          <w:rFonts w:hint="eastAsia" w:ascii="仿宋" w:hAnsi="仿宋" w:eastAsia="仿宋"/>
                          <w:sz w:val="22"/>
                        </w:rPr>
                        <w:t>法定代表人</w:t>
                      </w:r>
                      <w:r>
                        <w:rPr>
                          <w:rFonts w:hint="eastAsia" w:ascii="仿宋" w:hAnsi="仿宋" w:eastAsia="仿宋"/>
                        </w:rPr>
                        <w:t>（负责人）</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（正面）</w:t>
                      </w:r>
                    </w:p>
                  </w:txbxContent>
                </v:textbox>
              </v:rect>
            </w:pict>
          </mc:Fallback>
        </mc:AlternateContent>
      </w:r>
    </w:p>
    <w:p>
      <w:pPr>
        <w:spacing w:line="360" w:lineRule="auto"/>
        <w:rPr>
          <w:rFonts w:cs="仿宋" w:asciiTheme="minorEastAsia" w:hAnsiTheme="minorEastAsia" w:eastAsiaTheme="minorEastAsia"/>
          <w:b/>
          <w:bCs/>
        </w:rPr>
      </w:pPr>
    </w:p>
    <w:p>
      <w:pPr>
        <w:spacing w:line="360" w:lineRule="auto"/>
        <w:rPr>
          <w:rFonts w:cs="仿宋" w:asciiTheme="minorEastAsia" w:hAnsiTheme="minorEastAsia" w:eastAsiaTheme="minorEastAsia"/>
          <w:b/>
          <w:bCs/>
        </w:rPr>
      </w:pPr>
    </w:p>
    <w:p>
      <w:pPr>
        <w:spacing w:line="360" w:lineRule="auto"/>
        <w:rPr>
          <w:rFonts w:cs="仿宋" w:asciiTheme="minorEastAsia" w:hAnsiTheme="minorEastAsia" w:eastAsiaTheme="minorEastAsia"/>
          <w:b/>
          <w:bCs/>
        </w:rPr>
      </w:pPr>
    </w:p>
    <w:p>
      <w:pPr>
        <w:spacing w:line="360" w:lineRule="auto"/>
        <w:rPr>
          <w:rFonts w:cs="仿宋" w:asciiTheme="minorEastAsia" w:hAnsiTheme="minorEastAsia" w:eastAsiaTheme="minorEastAsia"/>
          <w:b/>
          <w:bCs/>
        </w:rPr>
      </w:pPr>
    </w:p>
    <w:p>
      <w:pPr>
        <w:spacing w:line="360" w:lineRule="auto"/>
        <w:rPr>
          <w:rFonts w:cs="仿宋" w:asciiTheme="minorEastAsia" w:hAnsiTheme="minorEastAsia" w:eastAsiaTheme="minorEastAsia"/>
          <w:b/>
          <w:bCs/>
        </w:rPr>
      </w:pPr>
    </w:p>
    <w:p>
      <w:pPr>
        <w:spacing w:line="360" w:lineRule="auto"/>
        <w:rPr>
          <w:rFonts w:cs="仿宋" w:asciiTheme="minorEastAsia" w:hAnsiTheme="minorEastAsia" w:eastAsiaTheme="minorEastAsia"/>
          <w:b/>
          <w:bCs/>
        </w:rPr>
      </w:pPr>
      <w:r>
        <w:rPr>
          <w:rFonts w:hint="eastAsia" w:cs="仿宋" w:asciiTheme="minorEastAsia" w:hAnsiTheme="minorEastAsia" w:eastAsiaTheme="minorEastAsia"/>
          <w:b/>
          <w:bCs/>
        </w:rPr>
        <w:t xml:space="preserve">                         </w:t>
      </w: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pPr>
        <w:jc w:val="center"/>
        <w:rPr>
          <w:rFonts w:cs="仿宋" w:asciiTheme="minorEastAsia" w:hAnsiTheme="minorEastAsia" w:eastAsiaTheme="minorEastAsia"/>
          <w:b/>
          <w:sz w:val="32"/>
          <w:szCs w:val="36"/>
        </w:rPr>
      </w:pPr>
      <w:r>
        <w:rPr>
          <w:rFonts w:hint="eastAsia" w:cs="仿宋" w:asciiTheme="minorEastAsia" w:hAnsiTheme="minorEastAsia" w:eastAsiaTheme="minorEastAsia"/>
          <w:b/>
          <w:sz w:val="32"/>
          <w:szCs w:val="36"/>
        </w:rPr>
        <w:t>法定代表人（负责人）授权委托书（格式）</w:t>
      </w: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深圳市中正招标有限公司：</w:t>
      </w:r>
    </w:p>
    <w:p>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现委派</w:t>
      </w:r>
      <w:r>
        <w:rPr>
          <w:rFonts w:hint="eastAsia" w:cs="仿宋" w:asciiTheme="minorEastAsia" w:hAnsiTheme="minorEastAsia" w:eastAsiaTheme="minorEastAsia"/>
          <w:u w:val="single"/>
        </w:rPr>
        <w:t>（姓名、职务）</w:t>
      </w:r>
      <w:r>
        <w:rPr>
          <w:rFonts w:hint="eastAsia" w:cs="仿宋" w:asciiTheme="minorEastAsia" w:hAnsiTheme="minorEastAsia" w:eastAsiaTheme="minorEastAsia"/>
        </w:rPr>
        <w:t>参加贵公司组织的</w:t>
      </w:r>
      <w:r>
        <w:rPr>
          <w:rFonts w:hint="eastAsia" w:cs="仿宋" w:asciiTheme="minorEastAsia" w:hAnsiTheme="minorEastAsia" w:eastAsiaTheme="minorEastAsia"/>
          <w:u w:val="single"/>
        </w:rPr>
        <w:t>（采购项目名称、编号）</w:t>
      </w:r>
      <w:r>
        <w:rPr>
          <w:rFonts w:hint="eastAsia" w:cs="仿宋" w:asciiTheme="minorEastAsia" w:hAnsiTheme="minorEastAsia" w:eastAsiaTheme="minorEastAsia"/>
        </w:rPr>
        <w:t>采购活动，全权代表我单位处理投标的有关事宜。</w:t>
      </w:r>
    </w:p>
    <w:p>
      <w:pPr>
        <w:spacing w:line="360" w:lineRule="auto"/>
        <w:rPr>
          <w:rFonts w:cs="仿宋" w:asciiTheme="minorEastAsia" w:hAnsiTheme="minorEastAsia" w:eastAsiaTheme="minorEastAsia"/>
        </w:rPr>
      </w:pPr>
    </w:p>
    <w:p>
      <w:pPr>
        <w:adjustRightInd w:val="0"/>
        <w:snapToGrid w:val="0"/>
        <w:spacing w:line="360" w:lineRule="auto"/>
        <w:ind w:firstLine="629"/>
        <w:rPr>
          <w:rFonts w:cs="仿宋" w:asciiTheme="minorEastAsia" w:hAnsiTheme="minorEastAsia" w:eastAsiaTheme="minorEastAsia"/>
          <w:b/>
        </w:rPr>
      </w:pPr>
      <w:r>
        <w:rPr>
          <w:rFonts w:hint="eastAsia" w:cs="仿宋" w:asciiTheme="minorEastAsia" w:hAnsiTheme="minorEastAsia" w:eastAsiaTheme="minorEastAsia"/>
          <w:b/>
        </w:rPr>
        <w:t>附授权代表情况：</w:t>
      </w:r>
    </w:p>
    <w:p>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姓       名：</w:t>
      </w:r>
    </w:p>
    <w:p>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性       别：</w:t>
      </w:r>
    </w:p>
    <w:p>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年       龄：</w:t>
      </w:r>
    </w:p>
    <w:p>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职       务：</w:t>
      </w:r>
    </w:p>
    <w:p>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身 份证号码：</w:t>
      </w:r>
    </w:p>
    <w:p>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 xml:space="preserve">通 讯 地 址： </w:t>
      </w:r>
    </w:p>
    <w:p>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 xml:space="preserve">联 系 方 式： </w:t>
      </w:r>
    </w:p>
    <w:p>
      <w:pPr>
        <w:spacing w:line="360" w:lineRule="auto"/>
        <w:ind w:firstLine="630"/>
        <w:rPr>
          <w:rFonts w:cs="仿宋" w:asciiTheme="minorEastAsia" w:hAnsiTheme="minorEastAsia" w:eastAsiaTheme="minorEastAsia"/>
        </w:rPr>
      </w:pPr>
      <w:r>
        <w:rPr>
          <w:rFonts w:hint="eastAsia" w:cs="仿宋" w:asciiTheme="minorEastAsia" w:hAnsiTheme="minorEastAsia" w:eastAsiaTheme="minorEastAsia"/>
        </w:rPr>
        <w:t>单 位 名 称：（公章）</w:t>
      </w:r>
    </w:p>
    <w:p>
      <w:pPr>
        <w:spacing w:line="360" w:lineRule="auto"/>
        <w:ind w:firstLine="630"/>
        <w:rPr>
          <w:rFonts w:cs="仿宋" w:asciiTheme="minorEastAsia" w:hAnsiTheme="minorEastAsia" w:eastAsiaTheme="minorEastAsia"/>
        </w:rPr>
      </w:pPr>
      <w:r>
        <w:rPr>
          <w:rFonts w:hint="eastAsia" w:cs="仿宋" w:asciiTheme="minorEastAsia" w:hAnsiTheme="minorEastAsia" w:eastAsiaTheme="minorEastAsia"/>
        </w:rPr>
        <w:t>法 人 代 表：（签章）</w:t>
      </w:r>
    </w:p>
    <w:p>
      <w:pPr>
        <w:spacing w:line="360" w:lineRule="auto"/>
        <w:ind w:firstLine="630"/>
        <w:rPr>
          <w:rFonts w:cs="仿宋" w:asciiTheme="minorEastAsia" w:hAnsiTheme="minorEastAsia" w:eastAsiaTheme="minorEastAsia"/>
        </w:rPr>
      </w:pPr>
    </w:p>
    <w:p>
      <w:pPr>
        <w:adjustRightInd w:val="0"/>
        <w:snapToGrid w:val="0"/>
        <w:spacing w:line="360" w:lineRule="auto"/>
        <w:jc w:val="right"/>
        <w:rPr>
          <w:rFonts w:cs="仿宋" w:asciiTheme="minorEastAsia" w:hAnsiTheme="minorEastAsia" w:eastAsiaTheme="minorEastAsia"/>
        </w:rPr>
      </w:pP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 xml:space="preserve">月 </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pPr>
        <w:spacing w:line="360" w:lineRule="auto"/>
        <w:rPr>
          <w:rFonts w:cs="仿宋" w:asciiTheme="minorEastAsia" w:hAnsiTheme="minorEastAsia" w:eastAsiaTheme="minorEastAsia"/>
        </w:rPr>
      </w:pPr>
      <w:bookmarkStart w:id="5" w:name="_Toc226217114"/>
      <w:r>
        <w:rPr>
          <w:rFonts w:cs="仿宋" w:asciiTheme="minorEastAsia" w:hAnsiTheme="minorEastAsia" w:eastAsiaTheme="minorEastAsia"/>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71120</wp:posOffset>
                </wp:positionV>
                <wp:extent cx="2619375" cy="1722755"/>
                <wp:effectExtent l="4445" t="4445" r="5080" b="6350"/>
                <wp:wrapNone/>
                <wp:docPr id="5" name="Rectangle 2"/>
                <wp:cNvGraphicFramePr/>
                <a:graphic xmlns:a="http://schemas.openxmlformats.org/drawingml/2006/main">
                  <a:graphicData uri="http://schemas.microsoft.com/office/word/2010/wordprocessingShape">
                    <wps:wsp>
                      <wps:cNvSpPr/>
                      <wps:spPr>
                        <a:xfrm>
                          <a:off x="0" y="0"/>
                          <a:ext cx="2619375" cy="17227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ind w:firstLine="1260" w:firstLineChars="600"/>
                            </w:pPr>
                          </w:p>
                          <w:p>
                            <w:pPr>
                              <w:spacing w:line="360" w:lineRule="auto"/>
                              <w:jc w:val="center"/>
                              <w:rPr>
                                <w:rFonts w:ascii="仿宋" w:hAnsi="仿宋" w:eastAsia="仿宋"/>
                                <w:sz w:val="22"/>
                              </w:rPr>
                            </w:pPr>
                            <w:r>
                              <w:rPr>
                                <w:rFonts w:hint="eastAsia" w:ascii="仿宋" w:hAnsi="仿宋" w:eastAsia="仿宋"/>
                                <w:sz w:val="22"/>
                              </w:rPr>
                              <w:t>被授权人（授权代表）</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（正面）</w:t>
                            </w:r>
                          </w:p>
                        </w:txbxContent>
                      </wps:txbx>
                      <wps:bodyPr upright="1"/>
                    </wps:wsp>
                  </a:graphicData>
                </a:graphic>
              </wp:anchor>
            </w:drawing>
          </mc:Choice>
          <mc:Fallback>
            <w:pict>
              <v:rect id="Rectangle 2" o:spid="_x0000_s1026" o:spt="1" style="position:absolute;left:0pt;margin-left:-1.35pt;margin-top:5.6pt;height:135.65pt;width:206.25pt;z-index:251662336;mso-width-relative:page;mso-height-relative:page;" fillcolor="#FFFFFF" filled="t" stroked="t" coordsize="21600,21600" o:gfxdata="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cd5BW1wAAAAkBAAAPAAAAAAAAAAEAIAAAACIAAABkcnMvZG93bnJldi54&#10;bWxQSwECFAAUAAAACACHTuJAFOp7MfsBAAA7BAAADgAAAAAAAAABACAAAAAmAQAAZHJzL2Uyb0Rv&#10;Yy54bWxQSwUGAAAAAAYABgBZAQAAkwUAAAAA&#10;">
                <v:fill on="t" focussize="0,0"/>
                <v:stroke color="#000000" joinstyle="miter"/>
                <v:imagedata o:title=""/>
                <o:lock v:ext="edit" aspectratio="f"/>
                <v:textbox>
                  <w:txbxContent>
                    <w:p>
                      <w:pPr>
                        <w:spacing w:line="360" w:lineRule="auto"/>
                        <w:ind w:firstLine="1260" w:firstLineChars="600"/>
                      </w:pPr>
                    </w:p>
                    <w:p>
                      <w:pPr>
                        <w:spacing w:line="360" w:lineRule="auto"/>
                        <w:jc w:val="center"/>
                        <w:rPr>
                          <w:rFonts w:ascii="仿宋" w:hAnsi="仿宋" w:eastAsia="仿宋"/>
                          <w:sz w:val="22"/>
                        </w:rPr>
                      </w:pPr>
                      <w:r>
                        <w:rPr>
                          <w:rFonts w:hint="eastAsia" w:ascii="仿宋" w:hAnsi="仿宋" w:eastAsia="仿宋"/>
                          <w:sz w:val="22"/>
                        </w:rPr>
                        <w:t>被授权人（授权代表）</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（正面）</w:t>
                      </w:r>
                    </w:p>
                  </w:txbxContent>
                </v:textbox>
              </v:rect>
            </w:pict>
          </mc:Fallback>
        </mc:AlternateContent>
      </w:r>
      <w:r>
        <w:rPr>
          <w:rFonts w:cs="仿宋" w:asciiTheme="minorEastAsia" w:hAnsiTheme="minorEastAsia" w:eastAsiaTheme="minorEastAsia"/>
        </w:rPr>
        <mc:AlternateContent>
          <mc:Choice Requires="wps">
            <w:drawing>
              <wp:anchor distT="0" distB="0" distL="114300" distR="114300" simplePos="0" relativeHeight="251663360" behindDoc="0" locked="0" layoutInCell="1" allowOverlap="1">
                <wp:simplePos x="0" y="0"/>
                <wp:positionH relativeFrom="column">
                  <wp:posOffset>2821305</wp:posOffset>
                </wp:positionH>
                <wp:positionV relativeFrom="paragraph">
                  <wp:posOffset>71120</wp:posOffset>
                </wp:positionV>
                <wp:extent cx="2533650" cy="1722755"/>
                <wp:effectExtent l="4445" t="4445" r="14605" b="6350"/>
                <wp:wrapNone/>
                <wp:docPr id="6" name="Rectangle 3"/>
                <wp:cNvGraphicFramePr/>
                <a:graphic xmlns:a="http://schemas.openxmlformats.org/drawingml/2006/main">
                  <a:graphicData uri="http://schemas.microsoft.com/office/word/2010/wordprocessingShape">
                    <wps:wsp>
                      <wps:cNvSpPr/>
                      <wps:spPr>
                        <a:xfrm>
                          <a:off x="0" y="0"/>
                          <a:ext cx="2533650" cy="17227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jc w:val="center"/>
                            </w:pPr>
                          </w:p>
                          <w:p>
                            <w:pPr>
                              <w:spacing w:line="360" w:lineRule="auto"/>
                              <w:jc w:val="center"/>
                              <w:rPr>
                                <w:rFonts w:ascii="仿宋" w:hAnsi="仿宋" w:eastAsia="仿宋"/>
                                <w:sz w:val="22"/>
                              </w:rPr>
                            </w:pPr>
                            <w:r>
                              <w:rPr>
                                <w:rFonts w:hint="eastAsia" w:ascii="仿宋" w:hAnsi="仿宋" w:eastAsia="仿宋"/>
                                <w:sz w:val="22"/>
                              </w:rPr>
                              <w:t>被授权人（授权代表）</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rPr>
                            </w:pPr>
                            <w:r>
                              <w:rPr>
                                <w:rFonts w:hint="eastAsia" w:ascii="仿宋" w:hAnsi="仿宋" w:eastAsia="仿宋"/>
                                <w:sz w:val="22"/>
                              </w:rPr>
                              <w:t>（反面）</w:t>
                            </w:r>
                          </w:p>
                          <w:p/>
                        </w:txbxContent>
                      </wps:txbx>
                      <wps:bodyPr upright="1"/>
                    </wps:wsp>
                  </a:graphicData>
                </a:graphic>
              </wp:anchor>
            </w:drawing>
          </mc:Choice>
          <mc:Fallback>
            <w:pict>
              <v:rect id="Rectangle 3" o:spid="_x0000_s1026" o:spt="1" style="position:absolute;left:0pt;margin-left:222.15pt;margin-top:5.6pt;height:135.65pt;width:199.5pt;z-index:251663360;mso-width-relative:page;mso-height-relative:page;" fillcolor="#FFFFFF" filled="t" stroked="t" coordsize="21600,21600" o:gfxdata="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tOyHU1wAAAAoBAAAPAAAAAAAAAAEAIAAAACIAAABkcnMvZG93bnJldi54&#10;bWxQSwECFAAUAAAACACHTuJApfSqi/sBAAA7BAAADgAAAAAAAAABACAAAAAmAQAAZHJzL2Uyb0Rv&#10;Yy54bWxQSwUGAAAAAAYABgBZAQAAkwUAAAAA&#10;">
                <v:fill on="t" focussize="0,0"/>
                <v:stroke color="#000000" joinstyle="miter"/>
                <v:imagedata o:title=""/>
                <o:lock v:ext="edit" aspectratio="f"/>
                <v:textbox>
                  <w:txbxContent>
                    <w:p>
                      <w:pPr>
                        <w:spacing w:line="360" w:lineRule="auto"/>
                        <w:jc w:val="center"/>
                      </w:pPr>
                    </w:p>
                    <w:p>
                      <w:pPr>
                        <w:spacing w:line="360" w:lineRule="auto"/>
                        <w:jc w:val="center"/>
                        <w:rPr>
                          <w:rFonts w:ascii="仿宋" w:hAnsi="仿宋" w:eastAsia="仿宋"/>
                          <w:sz w:val="22"/>
                        </w:rPr>
                      </w:pPr>
                      <w:r>
                        <w:rPr>
                          <w:rFonts w:hint="eastAsia" w:ascii="仿宋" w:hAnsi="仿宋" w:eastAsia="仿宋"/>
                          <w:sz w:val="22"/>
                        </w:rPr>
                        <w:t>被授权人（授权代表）</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rPr>
                      </w:pPr>
                      <w:r>
                        <w:rPr>
                          <w:rFonts w:hint="eastAsia" w:ascii="仿宋" w:hAnsi="仿宋" w:eastAsia="仿宋"/>
                          <w:sz w:val="22"/>
                        </w:rPr>
                        <w:t>（反面）</w:t>
                      </w:r>
                    </w:p>
                    <w:p/>
                  </w:txbxContent>
                </v:textbox>
              </v:rect>
            </w:pict>
          </mc:Fallback>
        </mc:AlternateContent>
      </w:r>
      <w:bookmarkEnd w:id="5"/>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p>
    <w:p>
      <w:pPr>
        <w:tabs>
          <w:tab w:val="left" w:pos="5115"/>
        </w:tabs>
        <w:spacing w:line="360" w:lineRule="auto"/>
        <w:rPr>
          <w:rFonts w:cs="仿宋" w:asciiTheme="minorEastAsia" w:hAnsiTheme="minorEastAsia" w:eastAsiaTheme="minorEastAsia"/>
        </w:rPr>
      </w:pPr>
      <w:r>
        <w:rPr>
          <w:rFonts w:hint="eastAsia" w:cs="仿宋" w:asciiTheme="minorEastAsia" w:hAnsiTheme="minorEastAsia" w:eastAsiaTheme="minorEastAsia"/>
        </w:rPr>
        <w:tab/>
      </w:r>
    </w:p>
    <w:p>
      <w:pPr>
        <w:spacing w:line="360" w:lineRule="auto"/>
        <w:rPr>
          <w:rFonts w:cs="仿宋" w:asciiTheme="minorEastAsia" w:hAnsiTheme="minorEastAsia" w:eastAsiaTheme="minorEastAsia"/>
        </w:rPr>
      </w:pPr>
    </w:p>
    <w:p>
      <w:pPr>
        <w:adjustRightInd w:val="0"/>
        <w:snapToGrid w:val="0"/>
        <w:spacing w:line="360" w:lineRule="auto"/>
        <w:ind w:firstLine="5008" w:firstLineChars="2385"/>
        <w:rPr>
          <w:rFonts w:cs="仿宋" w:asciiTheme="minorEastAsia" w:hAnsiTheme="minorEastAsia" w:eastAsiaTheme="minorEastAsia"/>
        </w:rPr>
      </w:pPr>
    </w:p>
    <w:p>
      <w:pPr>
        <w:ind w:left="433" w:hanging="433" w:hangingChars="196"/>
        <w:rPr>
          <w:rFonts w:cs="仿宋" w:asciiTheme="minorEastAsia" w:hAnsiTheme="minorEastAsia" w:eastAsiaTheme="minorEastAsia"/>
          <w:color w:val="FF0000"/>
          <w:sz w:val="22"/>
        </w:rPr>
      </w:pPr>
      <w:r>
        <w:rPr>
          <w:rFonts w:hint="eastAsia" w:cs="仿宋" w:asciiTheme="minorEastAsia" w:hAnsiTheme="minorEastAsia" w:eastAsiaTheme="minorEastAsia"/>
          <w:b/>
          <w:color w:val="FF0000"/>
          <w:sz w:val="22"/>
        </w:rPr>
        <w:t>注：</w:t>
      </w:r>
      <w:r>
        <w:rPr>
          <w:rFonts w:hint="eastAsia" w:cs="仿宋" w:asciiTheme="minorEastAsia" w:hAnsiTheme="minorEastAsia" w:eastAsiaTheme="minorEastAsia"/>
          <w:b/>
          <w:bCs/>
          <w:color w:val="FF0000"/>
          <w:sz w:val="22"/>
        </w:rPr>
        <w:t>法定代表人（负责人）授权委托书</w:t>
      </w:r>
      <w:r>
        <w:rPr>
          <w:rFonts w:hint="eastAsia" w:cs="仿宋" w:asciiTheme="minorEastAsia" w:hAnsiTheme="minorEastAsia" w:eastAsiaTheme="minorEastAsia"/>
          <w:b/>
          <w:color w:val="FF0000"/>
          <w:sz w:val="22"/>
        </w:rPr>
        <w:t>除装订于投标文件中外，还须另置一份按“投标须知”18.5项要求单独密封</w:t>
      </w:r>
    </w:p>
    <w:p>
      <w:pPr>
        <w:widowControl/>
        <w:jc w:val="center"/>
        <w:rPr>
          <w:rFonts w:cs="仿宋" w:asciiTheme="minorEastAsia" w:hAnsiTheme="minorEastAsia" w:eastAsiaTheme="minorEastAsia"/>
        </w:rPr>
      </w:pPr>
      <w:r>
        <w:rPr>
          <w:rFonts w:hint="eastAsia" w:cs="仿宋" w:asciiTheme="minorEastAsia" w:hAnsiTheme="minorEastAsia" w:eastAsiaTheme="minorEastAsia"/>
          <w:b/>
          <w:sz w:val="32"/>
          <w:szCs w:val="36"/>
        </w:rPr>
        <w:t xml:space="preserve"> </w:t>
      </w:r>
    </w:p>
    <w:p>
      <w:pPr>
        <w:jc w:val="center"/>
        <w:rPr>
          <w:rFonts w:cs="仿宋" w:asciiTheme="minorEastAsia" w:hAnsiTheme="minorEastAsia" w:eastAsiaTheme="minorEastAsia"/>
          <w:b/>
          <w:sz w:val="32"/>
          <w:szCs w:val="36"/>
        </w:rPr>
      </w:pPr>
      <w:r>
        <w:rPr>
          <w:rFonts w:hint="eastAsia" w:cs="仿宋" w:asciiTheme="minorEastAsia" w:hAnsiTheme="minorEastAsia" w:eastAsiaTheme="minorEastAsia"/>
        </w:rPr>
        <w:br w:type="page"/>
      </w:r>
      <w:r>
        <w:rPr>
          <w:rFonts w:hint="eastAsia" w:cs="仿宋" w:asciiTheme="minorEastAsia" w:hAnsiTheme="minorEastAsia" w:eastAsiaTheme="minorEastAsia"/>
          <w:b/>
          <w:sz w:val="32"/>
          <w:szCs w:val="36"/>
        </w:rPr>
        <w:t>格式3  评分中涉及的承诺及声明函</w:t>
      </w:r>
    </w:p>
    <w:p>
      <w:pPr>
        <w:jc w:val="center"/>
        <w:rPr>
          <w:rFonts w:cs="仿宋" w:asciiTheme="minorEastAsia" w:hAnsiTheme="minorEastAsia" w:eastAsiaTheme="minorEastAsia"/>
          <w:b/>
          <w:sz w:val="32"/>
          <w:szCs w:val="36"/>
        </w:rPr>
      </w:pPr>
    </w:p>
    <w:p>
      <w:pPr>
        <w:jc w:val="center"/>
        <w:rPr>
          <w:rFonts w:cs="仿宋" w:asciiTheme="minorEastAsia" w:hAnsiTheme="minorEastAsia" w:eastAsiaTheme="minorEastAsia"/>
          <w:b/>
          <w:sz w:val="32"/>
          <w:szCs w:val="36"/>
        </w:rPr>
      </w:pPr>
      <w:r>
        <w:rPr>
          <w:rFonts w:hint="eastAsia" w:cs="仿宋" w:asciiTheme="minorEastAsia" w:hAnsiTheme="minorEastAsia" w:eastAsiaTheme="minorEastAsia"/>
          <w:b/>
          <w:sz w:val="32"/>
          <w:szCs w:val="36"/>
        </w:rPr>
        <w:t>诚信承诺函</w:t>
      </w:r>
    </w:p>
    <w:p>
      <w:pPr>
        <w:spacing w:line="360" w:lineRule="auto"/>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深圳市中正招标有限公司：</w:t>
      </w:r>
    </w:p>
    <w:p>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我公司承诺，在参与政府采购活动中不存在出现诚信相关问题且在相关主管部门处理措施实施期限内，如若投标文件与事实情况不符，我司自愿承担“隐瞒真实情况，提供虚假资料”以及其他一切不利的法律后果。</w:t>
      </w:r>
    </w:p>
    <w:p>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我公司承诺，在参加政府采购活动中没有出现下列行为之一：</w:t>
      </w:r>
    </w:p>
    <w:p>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（一）投标截止后，无正当理由撤销其投标行为，导致项目无法正常开评审的；</w:t>
      </w:r>
    </w:p>
    <w:p>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（二）未按《采购条例》规定签订、履行采购合同，严重影响采购人日常工作的；</w:t>
      </w:r>
    </w:p>
    <w:p>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（三）在投标文件中未说明且未经采购人同意，将中标项目分包给他人，情节严重的；</w:t>
      </w:r>
    </w:p>
    <w:p>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（四）严重违反合同约定，擅自降低货物质量等次和售后服务，货物、工程或者服务存在严重质量问题的；</w:t>
      </w:r>
    </w:p>
    <w:p>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（五）严重违反合同约定，未能完成全部货物、服务或工程项目，中途停止配送或者变相增加费用的；</w:t>
      </w:r>
    </w:p>
    <w:p>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（六）捏造事实、提供虚假材料进行质疑的；</w:t>
      </w:r>
    </w:p>
    <w:p>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（七）假冒他人名义质疑的；</w:t>
      </w:r>
    </w:p>
    <w:p>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（八）无正当理由拒不配合进行质疑调查的。</w:t>
      </w:r>
    </w:p>
    <w:p>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特此承诺。</w:t>
      </w:r>
    </w:p>
    <w:p>
      <w:pPr>
        <w:spacing w:line="360" w:lineRule="auto"/>
        <w:ind w:firstLine="420" w:firstLineChars="200"/>
        <w:rPr>
          <w:rFonts w:cs="仿宋" w:asciiTheme="minorEastAsia" w:hAnsiTheme="minorEastAsia" w:eastAsiaTheme="minorEastAsia"/>
          <w:snapToGrid w:val="0"/>
          <w:szCs w:val="18"/>
        </w:rPr>
      </w:pPr>
    </w:p>
    <w:p>
      <w:pPr>
        <w:adjustRightInd w:val="0"/>
        <w:snapToGrid w:val="0"/>
        <w:spacing w:line="30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投标供应商：（盖章）</w:t>
      </w:r>
    </w:p>
    <w:p>
      <w:pPr>
        <w:rPr>
          <w:rFonts w:cs="仿宋" w:asciiTheme="minorEastAsia" w:hAnsiTheme="minorEastAsia" w:eastAsiaTheme="minorEastAsia"/>
          <w:snapToGrid w:val="0"/>
          <w:kern w:val="0"/>
        </w:rPr>
      </w:pPr>
    </w:p>
    <w:p>
      <w:pPr>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授权代表或法定代表人：（签字）</w:t>
      </w:r>
    </w:p>
    <w:p>
      <w:pPr>
        <w:rPr>
          <w:rFonts w:cs="仿宋" w:asciiTheme="minorEastAsia" w:hAnsiTheme="minorEastAsia" w:eastAsiaTheme="minorEastAsia"/>
          <w:snapToGrid w:val="0"/>
          <w:kern w:val="0"/>
        </w:rPr>
      </w:pPr>
    </w:p>
    <w:p>
      <w:pPr>
        <w:jc w:val="right"/>
        <w:rPr>
          <w:rFonts w:cs="仿宋" w:asciiTheme="minorEastAsia" w:hAnsiTheme="minorEastAsia" w:eastAsiaTheme="minorEastAsia"/>
        </w:rPr>
      </w:pP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 xml:space="preserve">月 </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pPr>
        <w:jc w:val="left"/>
        <w:rPr>
          <w:rFonts w:cs="仿宋" w:asciiTheme="minorEastAsia" w:hAnsiTheme="minorEastAsia" w:eastAsiaTheme="minorEastAsia"/>
        </w:rPr>
      </w:pPr>
    </w:p>
    <w:p>
      <w:pPr>
        <w:jc w:val="left"/>
        <w:rPr>
          <w:rFonts w:cs="仿宋" w:asciiTheme="minorEastAsia" w:hAnsiTheme="minorEastAsia" w:eastAsiaTheme="minorEastAsia"/>
        </w:rPr>
      </w:pPr>
    </w:p>
    <w:p>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中小企业声明函</w:t>
      </w:r>
    </w:p>
    <w:p>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本公司（联合体）郑重声明，根据《政府采购促进中小企业发展管理办法》（财库﹝2020﹞46 号）的规定，本公司（联合体）参加（</w:t>
      </w:r>
      <w:r>
        <w:rPr>
          <w:rFonts w:hint="eastAsia" w:cs="仿宋" w:asciiTheme="minorEastAsia" w:hAnsiTheme="minorEastAsia" w:eastAsiaTheme="minorEastAsia"/>
          <w:snapToGrid w:val="0"/>
          <w:szCs w:val="18"/>
          <w:u w:val="single"/>
        </w:rPr>
        <w:t>单位名称</w:t>
      </w:r>
      <w:r>
        <w:rPr>
          <w:rFonts w:hint="eastAsia" w:cs="仿宋" w:asciiTheme="minorEastAsia" w:hAnsiTheme="minorEastAsia" w:eastAsiaTheme="minorEastAsia"/>
          <w:snapToGrid w:val="0"/>
          <w:szCs w:val="18"/>
        </w:rPr>
        <w:t>）的（</w:t>
      </w:r>
      <w:r>
        <w:rPr>
          <w:rFonts w:hint="eastAsia" w:cs="仿宋" w:asciiTheme="minorEastAsia" w:hAnsiTheme="minorEastAsia" w:eastAsiaTheme="minorEastAsia"/>
          <w:snapToGrid w:val="0"/>
          <w:szCs w:val="18"/>
          <w:u w:val="single"/>
        </w:rPr>
        <w:t>项目名称</w:t>
      </w:r>
      <w:r>
        <w:rPr>
          <w:rFonts w:hint="eastAsia" w:cs="仿宋" w:asciiTheme="minorEastAsia" w:hAnsiTheme="minorEastAsia" w:eastAsiaTheme="minorEastAsia"/>
          <w:snapToGrid w:val="0"/>
          <w:szCs w:val="18"/>
        </w:rPr>
        <w:t>）采购活动，服务全部由符合政策要求的中小企业承接。相关企业（含联合体中的中小企业、签订分包意向协议的中小企业）的具体情况如下：</w:t>
      </w:r>
    </w:p>
    <w:p>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1、（</w:t>
      </w:r>
      <w:r>
        <w:rPr>
          <w:rFonts w:hint="eastAsia" w:cs="仿宋" w:asciiTheme="minorEastAsia" w:hAnsiTheme="minorEastAsia" w:eastAsiaTheme="minorEastAsia"/>
          <w:snapToGrid w:val="0"/>
          <w:szCs w:val="18"/>
          <w:u w:val="single"/>
        </w:rPr>
        <w:t>项目名称</w:t>
      </w:r>
      <w:r>
        <w:rPr>
          <w:rFonts w:hint="eastAsia" w:cs="仿宋" w:asciiTheme="minorEastAsia" w:hAnsiTheme="minorEastAsia" w:eastAsiaTheme="minorEastAsia"/>
          <w:snapToGrid w:val="0"/>
          <w:szCs w:val="18"/>
        </w:rPr>
        <w:t>），属于（</w:t>
      </w:r>
      <w:r>
        <w:rPr>
          <w:rFonts w:hint="eastAsia" w:cs="仿宋" w:asciiTheme="minorEastAsia" w:hAnsiTheme="minorEastAsia" w:eastAsiaTheme="minorEastAsia"/>
          <w:snapToGrid w:val="0"/>
          <w:szCs w:val="18"/>
          <w:u w:val="single"/>
        </w:rPr>
        <w:t>采购文件中明确的所属行业</w:t>
      </w:r>
      <w:r>
        <w:rPr>
          <w:rFonts w:hint="eastAsia" w:cs="仿宋" w:asciiTheme="minorEastAsia" w:hAnsiTheme="minorEastAsia" w:eastAsiaTheme="minorEastAsia"/>
          <w:snapToGrid w:val="0"/>
          <w:szCs w:val="18"/>
        </w:rPr>
        <w:t>）；承接企业为（</w:t>
      </w:r>
      <w:r>
        <w:rPr>
          <w:rFonts w:hint="eastAsia" w:cs="仿宋" w:asciiTheme="minorEastAsia" w:hAnsiTheme="minorEastAsia" w:eastAsiaTheme="minorEastAsia"/>
          <w:snapToGrid w:val="0"/>
          <w:szCs w:val="18"/>
          <w:u w:val="single"/>
        </w:rPr>
        <w:t>企业名称</w:t>
      </w:r>
      <w:r>
        <w:rPr>
          <w:rFonts w:hint="eastAsia" w:cs="仿宋" w:asciiTheme="minorEastAsia" w:hAnsiTheme="minorEastAsia" w:eastAsiaTheme="minorEastAsia"/>
          <w:snapToGrid w:val="0"/>
          <w:szCs w:val="18"/>
        </w:rPr>
        <w:t>），从业人员</w:t>
      </w:r>
      <w:r>
        <w:rPr>
          <w:rFonts w:hint="eastAsia" w:cs="仿宋" w:asciiTheme="minorEastAsia" w:hAnsiTheme="minorEastAsia" w:eastAsiaTheme="minorEastAsia"/>
          <w:snapToGrid w:val="0"/>
          <w:szCs w:val="18"/>
          <w:u w:val="single"/>
        </w:rPr>
        <w:t xml:space="preserve">    </w:t>
      </w:r>
      <w:r>
        <w:rPr>
          <w:rFonts w:hint="eastAsia" w:cs="仿宋" w:asciiTheme="minorEastAsia" w:hAnsiTheme="minorEastAsia" w:eastAsiaTheme="minorEastAsia"/>
          <w:snapToGrid w:val="0"/>
          <w:szCs w:val="18"/>
        </w:rPr>
        <w:t>人，营业收入为</w:t>
      </w:r>
      <w:r>
        <w:rPr>
          <w:rFonts w:hint="eastAsia" w:cs="仿宋" w:asciiTheme="minorEastAsia" w:hAnsiTheme="minorEastAsia" w:eastAsiaTheme="minorEastAsia"/>
          <w:snapToGrid w:val="0"/>
          <w:szCs w:val="18"/>
          <w:u w:val="single"/>
        </w:rPr>
        <w:t xml:space="preserve">    </w:t>
      </w:r>
      <w:r>
        <w:rPr>
          <w:rFonts w:hint="eastAsia" w:cs="仿宋" w:asciiTheme="minorEastAsia" w:hAnsiTheme="minorEastAsia" w:eastAsiaTheme="minorEastAsia"/>
          <w:snapToGrid w:val="0"/>
          <w:szCs w:val="18"/>
        </w:rPr>
        <w:t>万元，资产总额为</w:t>
      </w:r>
      <w:r>
        <w:rPr>
          <w:rFonts w:hint="eastAsia" w:cs="仿宋" w:asciiTheme="minorEastAsia" w:hAnsiTheme="minorEastAsia" w:eastAsiaTheme="minorEastAsia"/>
          <w:snapToGrid w:val="0"/>
          <w:szCs w:val="18"/>
          <w:u w:val="single"/>
        </w:rPr>
        <w:t xml:space="preserve">    </w:t>
      </w:r>
      <w:r>
        <w:rPr>
          <w:rFonts w:hint="eastAsia" w:cs="仿宋" w:asciiTheme="minorEastAsia" w:hAnsiTheme="minorEastAsia" w:eastAsiaTheme="minorEastAsia"/>
          <w:snapToGrid w:val="0"/>
          <w:szCs w:val="18"/>
        </w:rPr>
        <w:t>万元，属于（</w:t>
      </w:r>
      <w:r>
        <w:rPr>
          <w:rFonts w:hint="eastAsia" w:cs="仿宋" w:asciiTheme="minorEastAsia" w:hAnsiTheme="minorEastAsia" w:eastAsiaTheme="minorEastAsia"/>
          <w:snapToGrid w:val="0"/>
          <w:szCs w:val="18"/>
          <w:u w:val="single"/>
        </w:rPr>
        <w:t>中型企业、小型企业、微型企业</w:t>
      </w:r>
      <w:r>
        <w:rPr>
          <w:rFonts w:hint="eastAsia" w:cs="仿宋" w:asciiTheme="minorEastAsia" w:hAnsiTheme="minorEastAsia" w:eastAsiaTheme="minorEastAsia"/>
          <w:snapToGrid w:val="0"/>
          <w:szCs w:val="18"/>
        </w:rPr>
        <w:t>）；</w:t>
      </w:r>
    </w:p>
    <w:p>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2、（</w:t>
      </w:r>
      <w:r>
        <w:rPr>
          <w:rFonts w:hint="eastAsia" w:cs="仿宋" w:asciiTheme="minorEastAsia" w:hAnsiTheme="minorEastAsia" w:eastAsiaTheme="minorEastAsia"/>
          <w:snapToGrid w:val="0"/>
          <w:szCs w:val="18"/>
          <w:u w:val="single"/>
        </w:rPr>
        <w:t>项目名称</w:t>
      </w:r>
      <w:r>
        <w:rPr>
          <w:rFonts w:hint="eastAsia" w:cs="仿宋" w:asciiTheme="minorEastAsia" w:hAnsiTheme="minorEastAsia" w:eastAsiaTheme="minorEastAsia"/>
          <w:snapToGrid w:val="0"/>
          <w:szCs w:val="18"/>
        </w:rPr>
        <w:t>），属于（</w:t>
      </w:r>
      <w:r>
        <w:rPr>
          <w:rFonts w:hint="eastAsia" w:cs="仿宋" w:asciiTheme="minorEastAsia" w:hAnsiTheme="minorEastAsia" w:eastAsiaTheme="minorEastAsia"/>
          <w:snapToGrid w:val="0"/>
          <w:szCs w:val="18"/>
          <w:u w:val="single"/>
        </w:rPr>
        <w:t>采购文件中明确的所属行业</w:t>
      </w:r>
      <w:r>
        <w:rPr>
          <w:rFonts w:hint="eastAsia" w:cs="仿宋" w:asciiTheme="minorEastAsia" w:hAnsiTheme="minorEastAsia" w:eastAsiaTheme="minorEastAsia"/>
          <w:snapToGrid w:val="0"/>
          <w:szCs w:val="18"/>
        </w:rPr>
        <w:t>）；承接企业为（</w:t>
      </w:r>
      <w:r>
        <w:rPr>
          <w:rFonts w:hint="eastAsia" w:cs="仿宋" w:asciiTheme="minorEastAsia" w:hAnsiTheme="minorEastAsia" w:eastAsiaTheme="minorEastAsia"/>
          <w:snapToGrid w:val="0"/>
          <w:szCs w:val="18"/>
          <w:u w:val="single"/>
        </w:rPr>
        <w:t>企业名称</w:t>
      </w:r>
      <w:r>
        <w:rPr>
          <w:rFonts w:hint="eastAsia" w:cs="仿宋" w:asciiTheme="minorEastAsia" w:hAnsiTheme="minorEastAsia" w:eastAsiaTheme="minorEastAsia"/>
          <w:snapToGrid w:val="0"/>
          <w:szCs w:val="18"/>
        </w:rPr>
        <w:t>），从业人员</w:t>
      </w:r>
      <w:r>
        <w:rPr>
          <w:rFonts w:hint="eastAsia" w:cs="仿宋" w:asciiTheme="minorEastAsia" w:hAnsiTheme="minorEastAsia" w:eastAsiaTheme="minorEastAsia"/>
          <w:snapToGrid w:val="0"/>
          <w:szCs w:val="18"/>
          <w:u w:val="single"/>
        </w:rPr>
        <w:t xml:space="preserve">    </w:t>
      </w:r>
      <w:r>
        <w:rPr>
          <w:rFonts w:hint="eastAsia" w:cs="仿宋" w:asciiTheme="minorEastAsia" w:hAnsiTheme="minorEastAsia" w:eastAsiaTheme="minorEastAsia"/>
          <w:snapToGrid w:val="0"/>
          <w:szCs w:val="18"/>
        </w:rPr>
        <w:t>人，营业收入为</w:t>
      </w:r>
      <w:r>
        <w:rPr>
          <w:rFonts w:hint="eastAsia" w:cs="仿宋" w:asciiTheme="minorEastAsia" w:hAnsiTheme="minorEastAsia" w:eastAsiaTheme="minorEastAsia"/>
          <w:snapToGrid w:val="0"/>
          <w:szCs w:val="18"/>
          <w:u w:val="single"/>
        </w:rPr>
        <w:t xml:space="preserve">    </w:t>
      </w:r>
      <w:r>
        <w:rPr>
          <w:rFonts w:hint="eastAsia" w:cs="仿宋" w:asciiTheme="minorEastAsia" w:hAnsiTheme="minorEastAsia" w:eastAsiaTheme="minorEastAsia"/>
          <w:snapToGrid w:val="0"/>
          <w:szCs w:val="18"/>
        </w:rPr>
        <w:t>万元，资产总额为</w:t>
      </w:r>
      <w:r>
        <w:rPr>
          <w:rFonts w:hint="eastAsia" w:cs="仿宋" w:asciiTheme="minorEastAsia" w:hAnsiTheme="minorEastAsia" w:eastAsiaTheme="minorEastAsia"/>
          <w:snapToGrid w:val="0"/>
          <w:szCs w:val="18"/>
          <w:u w:val="single"/>
        </w:rPr>
        <w:t xml:space="preserve">    </w:t>
      </w:r>
      <w:r>
        <w:rPr>
          <w:rFonts w:hint="eastAsia" w:cs="仿宋" w:asciiTheme="minorEastAsia" w:hAnsiTheme="minorEastAsia" w:eastAsiaTheme="minorEastAsia"/>
          <w:snapToGrid w:val="0"/>
          <w:szCs w:val="18"/>
        </w:rPr>
        <w:t>万元，属于（</w:t>
      </w:r>
      <w:r>
        <w:rPr>
          <w:rFonts w:hint="eastAsia" w:cs="仿宋" w:asciiTheme="minorEastAsia" w:hAnsiTheme="minorEastAsia" w:eastAsiaTheme="minorEastAsia"/>
          <w:snapToGrid w:val="0"/>
          <w:szCs w:val="18"/>
          <w:u w:val="single"/>
        </w:rPr>
        <w:t>中型企业、小型企业、微型企业</w:t>
      </w:r>
      <w:r>
        <w:rPr>
          <w:rFonts w:hint="eastAsia" w:cs="仿宋" w:asciiTheme="minorEastAsia" w:hAnsiTheme="minorEastAsia" w:eastAsiaTheme="minorEastAsia"/>
          <w:snapToGrid w:val="0"/>
          <w:szCs w:val="18"/>
        </w:rPr>
        <w:t>）；</w:t>
      </w:r>
    </w:p>
    <w:p>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w:t>
      </w:r>
    </w:p>
    <w:p>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以上企业，不属于大企业的分支机构，不存在控股股东为大企业的情形，也不存在与大企业的负责人为同一人的情形。</w:t>
      </w:r>
    </w:p>
    <w:p>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本公司对上述声明的真实性负责。如有虚假，将依法承担相应责任。</w:t>
      </w:r>
    </w:p>
    <w:p>
      <w:pPr>
        <w:spacing w:line="360" w:lineRule="auto"/>
        <w:ind w:firstLine="420" w:firstLineChars="200"/>
        <w:rPr>
          <w:rFonts w:cs="仿宋" w:asciiTheme="minorEastAsia" w:hAnsiTheme="minorEastAsia" w:eastAsiaTheme="minorEastAsia"/>
          <w:snapToGrid w:val="0"/>
          <w:szCs w:val="18"/>
        </w:rPr>
      </w:pPr>
    </w:p>
    <w:p>
      <w:pPr>
        <w:spacing w:line="360" w:lineRule="auto"/>
        <w:ind w:firstLine="420" w:firstLineChars="200"/>
        <w:jc w:val="right"/>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企业名称(公章)：</w:t>
      </w:r>
      <w:r>
        <w:rPr>
          <w:rFonts w:hint="eastAsia" w:cs="仿宋" w:asciiTheme="minorEastAsia" w:hAnsiTheme="minorEastAsia" w:eastAsiaTheme="minorEastAsia"/>
          <w:snapToGrid w:val="0"/>
          <w:szCs w:val="18"/>
          <w:u w:val="single"/>
        </w:rPr>
        <w:t xml:space="preserve">           </w:t>
      </w:r>
      <w:r>
        <w:rPr>
          <w:rFonts w:hint="eastAsia" w:cs="仿宋" w:asciiTheme="minorEastAsia" w:hAnsiTheme="minorEastAsia" w:eastAsiaTheme="minorEastAsia"/>
          <w:snapToGrid w:val="0"/>
          <w:szCs w:val="18"/>
        </w:rPr>
        <w:t>；</w:t>
      </w:r>
    </w:p>
    <w:p>
      <w:pPr>
        <w:jc w:val="right"/>
        <w:rPr>
          <w:rFonts w:cs="仿宋" w:asciiTheme="minorEastAsia" w:hAnsiTheme="minorEastAsia" w:eastAsiaTheme="minorEastAsia"/>
        </w:rPr>
      </w:pPr>
      <w:r>
        <w:rPr>
          <w:rFonts w:hint="eastAsia" w:cs="仿宋" w:asciiTheme="minorEastAsia" w:hAnsiTheme="minorEastAsia" w:eastAsiaTheme="minorEastAsia"/>
          <w:snapToGrid w:val="0"/>
          <w:szCs w:val="18"/>
        </w:rPr>
        <w:t>日期：</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 xml:space="preserve">月 </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pPr>
        <w:rPr>
          <w:rFonts w:cs="仿宋" w:asciiTheme="minorEastAsia" w:hAnsiTheme="minorEastAsia" w:eastAsiaTheme="minorEastAsia"/>
          <w:snapToGrid w:val="0"/>
          <w:szCs w:val="18"/>
        </w:rPr>
      </w:pPr>
    </w:p>
    <w:p>
      <w:pPr>
        <w:rPr>
          <w:rFonts w:cs="仿宋" w:asciiTheme="minorEastAsia" w:hAnsiTheme="minorEastAsia" w:eastAsiaTheme="minorEastAsia"/>
          <w:snapToGrid w:val="0"/>
          <w:szCs w:val="18"/>
        </w:rPr>
      </w:pPr>
      <w:r>
        <w:rPr>
          <w:rFonts w:hint="eastAsia" w:cs="仿宋" w:asciiTheme="minorEastAsia" w:hAnsiTheme="minorEastAsia" w:eastAsiaTheme="minorEastAsia"/>
          <w:b/>
          <w:snapToGrid w:val="0"/>
          <w:color w:val="FF0000"/>
          <w:szCs w:val="18"/>
        </w:rPr>
        <w:t>备注：</w:t>
      </w:r>
      <w:r>
        <w:rPr>
          <w:rFonts w:hint="eastAsia" w:cs="仿宋" w:asciiTheme="minorEastAsia" w:hAnsiTheme="minorEastAsia" w:eastAsiaTheme="minorEastAsia"/>
          <w:snapToGrid w:val="0"/>
          <w:szCs w:val="18"/>
        </w:rPr>
        <w:t>1、填写前请认真阅读《工业和信息化部、国家统计局、国家发展和改革委员会、财政部关于印发中小企业划型标准规定的通知》(工信部联企业〔2011〕300号)和《财政部 工业和信息化部关于印发《政府采购促进中小企业发展管理办法》的通知》(财库〔2020〕46号)相关规定。</w:t>
      </w:r>
    </w:p>
    <w:p>
      <w:pPr>
        <w:ind w:firstLine="630" w:firstLineChars="3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2、从业人员、营业收入、资产总额填报上一年度数据，无上一年度数据的新成立企业可不填报。</w:t>
      </w:r>
    </w:p>
    <w:p>
      <w:pPr>
        <w:rPr>
          <w:rFonts w:cs="仿宋" w:asciiTheme="minorEastAsia" w:hAnsiTheme="minorEastAsia" w:eastAsiaTheme="minorEastAsia"/>
          <w:snapToGrid w:val="0"/>
          <w:szCs w:val="18"/>
        </w:rPr>
      </w:pPr>
    </w:p>
    <w:p>
      <w:pPr>
        <w:rPr>
          <w:rFonts w:cs="仿宋" w:asciiTheme="minorEastAsia" w:hAnsiTheme="minorEastAsia" w:eastAsiaTheme="minorEastAsia"/>
          <w:snapToGrid w:val="0"/>
          <w:szCs w:val="18"/>
        </w:rPr>
      </w:pPr>
    </w:p>
    <w:p>
      <w:pPr>
        <w:rPr>
          <w:rFonts w:cs="仿宋" w:asciiTheme="minorEastAsia" w:hAnsiTheme="minorEastAsia" w:eastAsiaTheme="minorEastAsia"/>
          <w:snapToGrid w:val="0"/>
          <w:szCs w:val="18"/>
        </w:rPr>
      </w:pPr>
    </w:p>
    <w:p>
      <w:pPr>
        <w:widowControl/>
        <w:jc w:val="left"/>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br w:type="page"/>
      </w:r>
    </w:p>
    <w:p>
      <w:pPr>
        <w:jc w:val="center"/>
        <w:rPr>
          <w:rFonts w:cs="仿宋" w:asciiTheme="minorEastAsia" w:hAnsiTheme="minorEastAsia" w:eastAsiaTheme="minorEastAsia"/>
          <w:snapToGrid w:val="0"/>
          <w:szCs w:val="18"/>
        </w:rPr>
      </w:pPr>
      <w:r>
        <w:rPr>
          <w:rFonts w:hint="eastAsia" w:cs="仿宋" w:asciiTheme="minorEastAsia" w:hAnsiTheme="minorEastAsia" w:eastAsiaTheme="minorEastAsia"/>
          <w:b/>
          <w:sz w:val="32"/>
          <w:szCs w:val="32"/>
        </w:rPr>
        <w:t>监狱企业声明函</w:t>
      </w:r>
    </w:p>
    <w:p>
      <w:pPr>
        <w:spacing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pPr>
        <w:ind w:firstLine="420" w:firstLineChars="200"/>
        <w:rPr>
          <w:rFonts w:cs="仿宋" w:asciiTheme="minorEastAsia" w:hAnsiTheme="minorEastAsia" w:eastAsiaTheme="minorEastAsia"/>
          <w:snapToGrid w:val="0"/>
          <w:szCs w:val="18"/>
        </w:rPr>
      </w:pPr>
      <w:r>
        <w:rPr>
          <w:rFonts w:hint="eastAsia" w:ascii="宋体" w:hAnsi="宋体"/>
          <w:szCs w:val="21"/>
        </w:rPr>
        <w:t>本单位对上述声明的真实性负责。如有虚假，将依法承担相应责任</w:t>
      </w:r>
      <w:r>
        <w:rPr>
          <w:rFonts w:hint="eastAsia" w:cs="仿宋" w:asciiTheme="minorEastAsia" w:hAnsiTheme="minorEastAsia" w:eastAsiaTheme="minorEastAsia"/>
          <w:snapToGrid w:val="0"/>
          <w:szCs w:val="18"/>
        </w:rPr>
        <w:t>。</w:t>
      </w:r>
    </w:p>
    <w:p>
      <w:pPr>
        <w:pStyle w:val="16"/>
        <w:ind w:firstLine="210"/>
      </w:pPr>
    </w:p>
    <w:p>
      <w:pPr>
        <w:spacing w:line="360" w:lineRule="auto"/>
        <w:ind w:firstLine="420" w:firstLineChars="200"/>
        <w:jc w:val="right"/>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投标供应商(公章)：</w:t>
      </w:r>
      <w:r>
        <w:rPr>
          <w:rFonts w:hint="eastAsia" w:cs="仿宋" w:asciiTheme="minorEastAsia" w:hAnsiTheme="minorEastAsia" w:eastAsiaTheme="minorEastAsia"/>
          <w:snapToGrid w:val="0"/>
          <w:szCs w:val="18"/>
          <w:u w:val="single"/>
        </w:rPr>
        <w:t xml:space="preserve">          </w:t>
      </w:r>
      <w:r>
        <w:rPr>
          <w:rFonts w:hint="eastAsia" w:cs="仿宋" w:asciiTheme="minorEastAsia" w:hAnsiTheme="minorEastAsia" w:eastAsiaTheme="minorEastAsia"/>
          <w:snapToGrid w:val="0"/>
          <w:szCs w:val="18"/>
        </w:rPr>
        <w:t>；</w:t>
      </w:r>
    </w:p>
    <w:p>
      <w:pPr>
        <w:ind w:firstLine="420" w:firstLineChars="200"/>
        <w:jc w:val="right"/>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日期：</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 xml:space="preserve">月 </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pPr>
        <w:ind w:firstLine="420" w:firstLineChars="200"/>
        <w:rPr>
          <w:rFonts w:cs="仿宋" w:asciiTheme="minorEastAsia" w:hAnsiTheme="minorEastAsia" w:eastAsiaTheme="minorEastAsia"/>
          <w:snapToGrid w:val="0"/>
          <w:szCs w:val="18"/>
        </w:rPr>
      </w:pPr>
    </w:p>
    <w:p>
      <w:pPr>
        <w:ind w:firstLine="422" w:firstLineChars="200"/>
        <w:rPr>
          <w:rFonts w:cs="仿宋" w:asciiTheme="minorEastAsia" w:hAnsiTheme="minorEastAsia" w:eastAsiaTheme="minorEastAsia"/>
          <w:b/>
          <w:snapToGrid w:val="0"/>
          <w:szCs w:val="18"/>
        </w:rPr>
      </w:pPr>
      <w:r>
        <w:rPr>
          <w:rFonts w:hint="eastAsia" w:cs="仿宋" w:asciiTheme="minorEastAsia" w:hAnsiTheme="minorEastAsia" w:eastAsiaTheme="minorEastAsia"/>
          <w:b/>
          <w:snapToGrid w:val="0"/>
          <w:szCs w:val="18"/>
        </w:rPr>
        <w:t>附：省级以上监狱管理局、戒毒管理局（含新疆生产建设兵团）出具的监狱企业证明文件。</w:t>
      </w:r>
    </w:p>
    <w:p>
      <w:pPr>
        <w:ind w:firstLine="420" w:firstLineChars="200"/>
        <w:rPr>
          <w:rFonts w:cs="仿宋" w:asciiTheme="minorEastAsia" w:hAnsiTheme="minorEastAsia" w:eastAsiaTheme="minorEastAsia"/>
          <w:snapToGrid w:val="0"/>
          <w:szCs w:val="18"/>
        </w:rPr>
      </w:pPr>
    </w:p>
    <w:p>
      <w:pPr>
        <w:ind w:firstLine="422"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b/>
          <w:snapToGrid w:val="0"/>
          <w:color w:val="FF0000"/>
          <w:szCs w:val="18"/>
        </w:rPr>
        <w:t>备注：</w:t>
      </w:r>
      <w:r>
        <w:rPr>
          <w:rFonts w:hint="eastAsia" w:cs="仿宋" w:asciiTheme="minorEastAsia" w:hAnsiTheme="minorEastAsia" w:eastAsiaTheme="minorEastAsia"/>
          <w:snapToGrid w:val="0"/>
          <w:szCs w:val="18"/>
        </w:rPr>
        <w:t>填写前请认真阅读《财政部 司法部关于政府采购支持监狱企业发展有关问题的通知》（财库〔2014〕68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pPr>
        <w:widowControl/>
        <w:jc w:val="left"/>
        <w:rPr>
          <w:rFonts w:cs="仿宋" w:asciiTheme="minorEastAsia" w:hAnsiTheme="minorEastAsia" w:eastAsiaTheme="minorEastAsia"/>
          <w:b/>
          <w:sz w:val="32"/>
          <w:szCs w:val="32"/>
        </w:rPr>
      </w:pP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残疾人福利性单位声明函</w:t>
      </w:r>
    </w:p>
    <w:p>
      <w:pPr>
        <w:spacing w:line="360" w:lineRule="auto"/>
        <w:ind w:firstLine="420" w:firstLineChars="200"/>
        <w:rPr>
          <w:rFonts w:cs="仿宋" w:asciiTheme="minorEastAsia" w:hAnsiTheme="minorEastAsia" w:eastAsiaTheme="minorEastAsia"/>
          <w:snapToGrid w:val="0"/>
          <w:szCs w:val="18"/>
        </w:rPr>
      </w:pPr>
    </w:p>
    <w:p>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本单位郑重声明，根据《财政部 民政部 中国残疾人联合会关于促进残疾人就业政府采购政策的通知》（财库〔2017〕141号）的规定，本单位为符合条件的残疾人福利性单位，且本单位参加</w:t>
      </w:r>
      <w:r>
        <w:rPr>
          <w:rFonts w:hint="eastAsia" w:cs="仿宋" w:asciiTheme="minorEastAsia" w:hAnsiTheme="minorEastAsia" w:eastAsiaTheme="minorEastAsia"/>
          <w:snapToGrid w:val="0"/>
          <w:szCs w:val="18"/>
          <w:u w:val="single"/>
        </w:rPr>
        <w:t xml:space="preserve">      </w:t>
      </w:r>
      <w:r>
        <w:rPr>
          <w:rFonts w:hint="eastAsia" w:cs="仿宋" w:asciiTheme="minorEastAsia" w:hAnsiTheme="minorEastAsia" w:eastAsiaTheme="minorEastAsia"/>
          <w:snapToGrid w:val="0"/>
          <w:szCs w:val="18"/>
        </w:rPr>
        <w:t>单位的</w:t>
      </w:r>
      <w:r>
        <w:rPr>
          <w:rFonts w:hint="eastAsia" w:cs="仿宋" w:asciiTheme="minorEastAsia" w:hAnsiTheme="minorEastAsia" w:eastAsiaTheme="minorEastAsia"/>
          <w:snapToGrid w:val="0"/>
          <w:szCs w:val="18"/>
          <w:u w:val="single"/>
        </w:rPr>
        <w:t xml:space="preserve">      </w:t>
      </w:r>
      <w:r>
        <w:rPr>
          <w:rFonts w:hint="eastAsia" w:cs="仿宋" w:asciiTheme="minorEastAsia" w:hAnsiTheme="minorEastAsia" w:eastAsiaTheme="minorEastAsia"/>
          <w:snapToGrid w:val="0"/>
          <w:szCs w:val="18"/>
        </w:rPr>
        <w:t>项目采购活动，由本单位提供服务。</w:t>
      </w:r>
    </w:p>
    <w:p>
      <w:pPr>
        <w:spacing w:line="360" w:lineRule="auto"/>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本单位对上述声明的真实性负责。如有虚假，将依法承担相应责任。</w:t>
      </w:r>
    </w:p>
    <w:p>
      <w:pPr>
        <w:spacing w:line="360" w:lineRule="auto"/>
        <w:ind w:firstLine="420" w:firstLineChars="200"/>
        <w:rPr>
          <w:rFonts w:cs="仿宋" w:asciiTheme="minorEastAsia" w:hAnsiTheme="minorEastAsia" w:eastAsiaTheme="minorEastAsia"/>
          <w:snapToGrid w:val="0"/>
          <w:szCs w:val="18"/>
        </w:rPr>
      </w:pPr>
    </w:p>
    <w:p>
      <w:pPr>
        <w:spacing w:line="360" w:lineRule="auto"/>
        <w:ind w:firstLine="420" w:firstLineChars="200"/>
        <w:jc w:val="right"/>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投标供应商(公章)：</w:t>
      </w:r>
      <w:r>
        <w:rPr>
          <w:rFonts w:hint="eastAsia" w:cs="仿宋" w:asciiTheme="minorEastAsia" w:hAnsiTheme="minorEastAsia" w:eastAsiaTheme="minorEastAsia"/>
          <w:snapToGrid w:val="0"/>
          <w:szCs w:val="18"/>
          <w:u w:val="single"/>
        </w:rPr>
        <w:t xml:space="preserve">          </w:t>
      </w:r>
      <w:r>
        <w:rPr>
          <w:rFonts w:hint="eastAsia" w:cs="仿宋" w:asciiTheme="minorEastAsia" w:hAnsiTheme="minorEastAsia" w:eastAsiaTheme="minorEastAsia"/>
          <w:snapToGrid w:val="0"/>
          <w:szCs w:val="18"/>
        </w:rPr>
        <w:t>；</w:t>
      </w:r>
    </w:p>
    <w:p>
      <w:pPr>
        <w:spacing w:line="360" w:lineRule="auto"/>
        <w:ind w:firstLine="420" w:firstLineChars="200"/>
        <w:jc w:val="right"/>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日期：</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 xml:space="preserve">月 </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pPr>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 xml:space="preserve">    </w:t>
      </w:r>
    </w:p>
    <w:p>
      <w:pPr>
        <w:rPr>
          <w:rFonts w:cs="仿宋" w:asciiTheme="minorEastAsia" w:hAnsiTheme="minorEastAsia" w:eastAsiaTheme="minorEastAsia"/>
          <w:snapToGrid w:val="0"/>
          <w:szCs w:val="18"/>
        </w:rPr>
      </w:pPr>
    </w:p>
    <w:p>
      <w:pPr>
        <w:ind w:firstLine="422" w:firstLineChars="200"/>
        <w:rPr>
          <w:rFonts w:cs="仿宋" w:asciiTheme="minorEastAsia" w:hAnsiTheme="minorEastAsia" w:eastAsiaTheme="minorEastAsia"/>
        </w:rPr>
      </w:pPr>
      <w:r>
        <w:rPr>
          <w:rFonts w:hint="eastAsia" w:cs="仿宋" w:asciiTheme="minorEastAsia" w:hAnsiTheme="minorEastAsia" w:eastAsiaTheme="minorEastAsia"/>
          <w:b/>
          <w:snapToGrid w:val="0"/>
          <w:color w:val="FF0000"/>
          <w:szCs w:val="18"/>
        </w:rPr>
        <w:t>备注：</w:t>
      </w:r>
      <w:r>
        <w:rPr>
          <w:rFonts w:hint="eastAsia" w:cs="仿宋" w:asciiTheme="minorEastAsia" w:hAnsiTheme="minorEastAsia" w:eastAsiaTheme="minorEastAsia"/>
          <w:snapToGrid w:val="0"/>
          <w:szCs w:val="18"/>
        </w:rPr>
        <w:t>填写前请认真阅读《财政部、民政部、中国残疾人联合会关于促进残疾人就业政府采购政策的通知》(财库〔2017〕141号)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pPr>
        <w:jc w:val="center"/>
        <w:rPr>
          <w:rFonts w:cs="仿宋" w:asciiTheme="minorEastAsia" w:hAnsiTheme="minorEastAsia" w:eastAsiaTheme="minorEastAsia"/>
          <w:b/>
          <w:sz w:val="32"/>
          <w:szCs w:val="32"/>
        </w:rPr>
      </w:pPr>
    </w:p>
    <w:p>
      <w:pPr>
        <w:jc w:val="center"/>
        <w:rPr>
          <w:rFonts w:cs="仿宋" w:asciiTheme="minorEastAsia" w:hAnsiTheme="minorEastAsia" w:eastAsiaTheme="minorEastAsia"/>
          <w:b/>
          <w:bCs/>
          <w:sz w:val="32"/>
          <w:szCs w:val="32"/>
        </w:rPr>
      </w:pPr>
      <w:r>
        <w:rPr>
          <w:rFonts w:hint="eastAsia" w:cs="仿宋" w:asciiTheme="minorEastAsia" w:hAnsiTheme="minorEastAsia" w:eastAsiaTheme="minorEastAsia"/>
          <w:b/>
          <w:sz w:val="32"/>
          <w:szCs w:val="32"/>
        </w:rPr>
        <w:t xml:space="preserve">格式4  </w:t>
      </w:r>
      <w:r>
        <w:rPr>
          <w:rFonts w:hint="eastAsia" w:cs="仿宋" w:asciiTheme="minorEastAsia" w:hAnsiTheme="minorEastAsia" w:eastAsiaTheme="minorEastAsia"/>
          <w:b/>
          <w:bCs/>
          <w:sz w:val="32"/>
          <w:szCs w:val="32"/>
        </w:rPr>
        <w:t>开标一览表</w:t>
      </w:r>
    </w:p>
    <w:p>
      <w:pPr>
        <w:rPr>
          <w:rFonts w:cs="仿宋" w:asciiTheme="minorEastAsia" w:hAnsiTheme="minorEastAsia" w:eastAsiaTheme="minorEastAsia"/>
        </w:rPr>
      </w:pPr>
    </w:p>
    <w:p>
      <w:pPr>
        <w:spacing w:line="360" w:lineRule="auto"/>
        <w:jc w:val="left"/>
        <w:rPr>
          <w:rFonts w:cs="仿宋" w:asciiTheme="minorEastAsia" w:hAnsiTheme="minorEastAsia" w:eastAsiaTheme="minorEastAsia"/>
        </w:rPr>
      </w:pPr>
      <w:r>
        <w:rPr>
          <w:rFonts w:hint="eastAsia" w:cs="仿宋" w:asciiTheme="minorEastAsia" w:hAnsiTheme="minorEastAsia" w:eastAsiaTheme="minorEastAsia"/>
        </w:rPr>
        <w:t>项目名称：</w:t>
      </w:r>
      <w:r>
        <w:rPr>
          <w:rFonts w:hint="eastAsia" w:cs="仿宋" w:asciiTheme="minorEastAsia" w:hAnsiTheme="minorEastAsia" w:eastAsiaTheme="minorEastAsia"/>
          <w:u w:val="single"/>
        </w:rPr>
        <w:t xml:space="preserve">                </w:t>
      </w:r>
    </w:p>
    <w:p>
      <w:pPr>
        <w:spacing w:line="360" w:lineRule="auto"/>
        <w:jc w:val="left"/>
        <w:rPr>
          <w:rFonts w:cs="仿宋" w:asciiTheme="minorEastAsia" w:hAnsiTheme="minorEastAsia" w:eastAsiaTheme="minorEastAsia"/>
        </w:rPr>
      </w:pPr>
      <w:r>
        <w:rPr>
          <w:rFonts w:hint="eastAsia" w:cs="仿宋" w:asciiTheme="minorEastAsia" w:hAnsiTheme="minorEastAsia" w:eastAsiaTheme="minorEastAsia"/>
        </w:rPr>
        <w:t>项目编号：</w:t>
      </w:r>
      <w:r>
        <w:rPr>
          <w:rFonts w:hint="eastAsia" w:cs="仿宋" w:asciiTheme="minorEastAsia" w:hAnsiTheme="minorEastAsia" w:eastAsiaTheme="minorEastAsia"/>
          <w:u w:val="single"/>
        </w:rPr>
        <w:t xml:space="preserve">                </w:t>
      </w:r>
    </w:p>
    <w:tbl>
      <w:tblPr>
        <w:tblStyle w:val="19"/>
        <w:tblW w:w="4999" w:type="pct"/>
        <w:jc w:val="center"/>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73"/>
        <w:gridCol w:w="3914"/>
        <w:gridCol w:w="1533"/>
      </w:tblGrid>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03" w:type="pct"/>
            <w:shd w:val="clear" w:color="auto" w:fill="C6D9F0" w:themeFill="text2" w:themeFillTint="33"/>
            <w:vAlign w:val="center"/>
          </w:tcPr>
          <w:p>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项目名称</w:t>
            </w:r>
          </w:p>
        </w:tc>
        <w:tc>
          <w:tcPr>
            <w:tcW w:w="2296" w:type="pct"/>
            <w:shd w:val="clear" w:color="auto" w:fill="C6D9F0" w:themeFill="text2" w:themeFillTint="33"/>
            <w:vAlign w:val="center"/>
          </w:tcPr>
          <w:p>
            <w:pPr>
              <w:jc w:val="center"/>
              <w:rPr>
                <w:rFonts w:cs="仿宋" w:asciiTheme="minorEastAsia" w:hAnsiTheme="minorEastAsia" w:eastAsiaTheme="minorEastAsia"/>
                <w:b/>
              </w:rPr>
            </w:pPr>
            <w:r>
              <w:rPr>
                <w:rFonts w:hint="eastAsia" w:cs="仿宋" w:asciiTheme="minorEastAsia" w:hAnsiTheme="minorEastAsia" w:eastAsiaTheme="minorEastAsia"/>
                <w:b/>
              </w:rPr>
              <w:t>投标报价</w:t>
            </w:r>
          </w:p>
        </w:tc>
        <w:tc>
          <w:tcPr>
            <w:tcW w:w="899" w:type="pct"/>
            <w:shd w:val="clear" w:color="auto" w:fill="C6D9F0" w:themeFill="text2" w:themeFillTint="33"/>
            <w:vAlign w:val="center"/>
          </w:tcPr>
          <w:p>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备注</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09" w:hRule="atLeast"/>
          <w:jc w:val="center"/>
        </w:trPr>
        <w:tc>
          <w:tcPr>
            <w:tcW w:w="1803" w:type="pct"/>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深圳地铁1号线西段警用通信系统运维项目</w:t>
            </w:r>
          </w:p>
        </w:tc>
        <w:tc>
          <w:tcPr>
            <w:tcW w:w="2296" w:type="pct"/>
            <w:vAlign w:val="center"/>
          </w:tcPr>
          <w:p>
            <w:pPr>
              <w:spacing w:line="360" w:lineRule="auto"/>
              <w:ind w:firstLine="211" w:firstLineChars="100"/>
              <w:jc w:val="center"/>
              <w:rPr>
                <w:rFonts w:cs="仿宋" w:asciiTheme="minorEastAsia" w:hAnsiTheme="minorEastAsia" w:eastAsiaTheme="minorEastAsia"/>
                <w:u w:val="single"/>
              </w:rPr>
            </w:pPr>
            <w:r>
              <w:rPr>
                <w:rFonts w:hint="eastAsia" w:cs="仿宋" w:asciiTheme="minorEastAsia" w:hAnsiTheme="minorEastAsia" w:eastAsiaTheme="minorEastAsia"/>
                <w:b/>
              </w:rPr>
              <w:t>人民币</w:t>
            </w:r>
            <w:r>
              <w:rPr>
                <w:rFonts w:hint="eastAsia" w:cs="仿宋" w:asciiTheme="minorEastAsia" w:hAnsiTheme="minorEastAsia" w:eastAsiaTheme="minorEastAsia"/>
                <w:b/>
                <w:u w:val="single"/>
              </w:rPr>
              <w:t xml:space="preserve">          </w:t>
            </w:r>
            <w:r>
              <w:rPr>
                <w:rFonts w:hint="eastAsia" w:cs="仿宋" w:asciiTheme="minorEastAsia" w:hAnsiTheme="minorEastAsia" w:eastAsiaTheme="minorEastAsia"/>
                <w:b/>
              </w:rPr>
              <w:t>元</w:t>
            </w:r>
          </w:p>
        </w:tc>
        <w:tc>
          <w:tcPr>
            <w:tcW w:w="899" w:type="pct"/>
            <w:vAlign w:val="center"/>
          </w:tcPr>
          <w:p>
            <w:pPr>
              <w:spacing w:line="360" w:lineRule="auto"/>
              <w:jc w:val="center"/>
              <w:rPr>
                <w:rFonts w:cs="仿宋" w:asciiTheme="minorEastAsia" w:hAnsiTheme="minorEastAsia" w:eastAsiaTheme="minorEastAsia"/>
              </w:rPr>
            </w:pPr>
          </w:p>
        </w:tc>
      </w:tr>
    </w:tbl>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投标供应商：（公章）</w:t>
      </w: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法定代表人或授权代表：（签章）</w:t>
      </w:r>
    </w:p>
    <w:p>
      <w:pPr>
        <w:spacing w:line="360" w:lineRule="auto"/>
        <w:ind w:firstLine="630"/>
        <w:rPr>
          <w:rFonts w:cs="仿宋" w:asciiTheme="minorEastAsia" w:hAnsiTheme="minorEastAsia" w:eastAsiaTheme="minorEastAsia"/>
        </w:rPr>
      </w:pPr>
    </w:p>
    <w:p>
      <w:pPr>
        <w:jc w:val="right"/>
        <w:rPr>
          <w:rFonts w:cs="仿宋" w:asciiTheme="minorEastAsia" w:hAnsiTheme="minorEastAsia" w:eastAsiaTheme="minorEastAsia"/>
        </w:rPr>
      </w:pP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 xml:space="preserve">月 </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pPr>
        <w:jc w:val="left"/>
        <w:rPr>
          <w:rFonts w:cs="仿宋" w:asciiTheme="minorEastAsia" w:hAnsiTheme="minorEastAsia" w:eastAsiaTheme="minorEastAsia"/>
        </w:rPr>
      </w:pPr>
    </w:p>
    <w:p>
      <w:pPr>
        <w:jc w:val="left"/>
        <w:rPr>
          <w:rFonts w:cs="仿宋" w:asciiTheme="minorEastAsia" w:hAnsiTheme="minorEastAsia" w:eastAsiaTheme="minorEastAsia"/>
        </w:rPr>
      </w:pPr>
    </w:p>
    <w:p>
      <w:pPr>
        <w:jc w:val="left"/>
        <w:rPr>
          <w:rFonts w:cs="仿宋" w:asciiTheme="minorEastAsia" w:hAnsiTheme="minorEastAsia" w:eastAsiaTheme="minorEastAsia"/>
        </w:rPr>
      </w:pPr>
    </w:p>
    <w:p>
      <w:pPr>
        <w:jc w:val="left"/>
        <w:rPr>
          <w:rFonts w:cs="仿宋" w:asciiTheme="minorEastAsia" w:hAnsiTheme="minorEastAsia" w:eastAsiaTheme="minorEastAsia"/>
        </w:rPr>
      </w:pPr>
    </w:p>
    <w:p>
      <w:pPr>
        <w:jc w:val="left"/>
        <w:rPr>
          <w:rFonts w:cs="仿宋" w:asciiTheme="minorEastAsia" w:hAnsiTheme="minorEastAsia" w:eastAsiaTheme="minorEastAsia"/>
          <w:bCs/>
        </w:rPr>
      </w:pPr>
      <w:r>
        <w:rPr>
          <w:rFonts w:hint="eastAsia" w:cs="仿宋" w:asciiTheme="minorEastAsia" w:hAnsiTheme="minorEastAsia" w:eastAsiaTheme="minorEastAsia"/>
          <w:b/>
          <w:color w:val="FF0000"/>
        </w:rPr>
        <w:t>注：</w:t>
      </w:r>
      <w:r>
        <w:rPr>
          <w:rFonts w:hint="eastAsia" w:cs="仿宋" w:asciiTheme="minorEastAsia" w:hAnsiTheme="minorEastAsia" w:eastAsiaTheme="minorEastAsia"/>
        </w:rPr>
        <w:t>1、价格应按“征集文件”中规定</w:t>
      </w:r>
      <w:r>
        <w:rPr>
          <w:rFonts w:hint="eastAsia" w:cs="仿宋" w:asciiTheme="minorEastAsia" w:hAnsiTheme="minorEastAsia" w:eastAsiaTheme="minorEastAsia"/>
          <w:bCs/>
        </w:rPr>
        <w:t>的货币单位填写。</w:t>
      </w:r>
    </w:p>
    <w:p>
      <w:pPr>
        <w:ind w:firstLine="420" w:firstLineChars="200"/>
        <w:jc w:val="left"/>
        <w:rPr>
          <w:rFonts w:cs="仿宋" w:asciiTheme="minorEastAsia" w:hAnsiTheme="minorEastAsia" w:eastAsiaTheme="minorEastAsia"/>
        </w:rPr>
      </w:pPr>
      <w:r>
        <w:rPr>
          <w:rFonts w:hint="eastAsia" w:cs="仿宋" w:asciiTheme="minorEastAsia" w:hAnsiTheme="minorEastAsia" w:eastAsiaTheme="minorEastAsia"/>
          <w:bCs/>
        </w:rPr>
        <w:t>2、</w:t>
      </w:r>
      <w:r>
        <w:rPr>
          <w:rFonts w:hint="eastAsia" w:ascii="宋体" w:hAnsi="宋体"/>
          <w:szCs w:val="21"/>
        </w:rPr>
        <w:t>投标</w:t>
      </w:r>
      <w:r>
        <w:rPr>
          <w:rFonts w:hint="eastAsia"/>
          <w:snapToGrid w:val="0"/>
          <w:kern w:val="0"/>
        </w:rPr>
        <w:t>报</w:t>
      </w:r>
      <w:r>
        <w:rPr>
          <w:rFonts w:hint="eastAsia" w:ascii="宋体" w:hAnsi="宋体"/>
          <w:szCs w:val="21"/>
        </w:rPr>
        <w:t>价为综合报价，包含完成本项目所需的全部费用</w:t>
      </w:r>
      <w:r>
        <w:rPr>
          <w:rFonts w:hint="eastAsia" w:cs="仿宋" w:asciiTheme="minorEastAsia" w:hAnsiTheme="minorEastAsia" w:eastAsiaTheme="minorEastAsia"/>
        </w:rPr>
        <w:t>。</w:t>
      </w:r>
    </w:p>
    <w:p>
      <w:pPr>
        <w:ind w:firstLine="420" w:firstLineChars="200"/>
        <w:jc w:val="left"/>
        <w:rPr>
          <w:rFonts w:cs="仿宋" w:asciiTheme="minorEastAsia" w:hAnsiTheme="minorEastAsia" w:eastAsiaTheme="minorEastAsia"/>
        </w:rPr>
      </w:pPr>
      <w:r>
        <w:rPr>
          <w:rFonts w:hint="eastAsia" w:cs="仿宋" w:asciiTheme="minorEastAsia" w:hAnsiTheme="minorEastAsia" w:eastAsiaTheme="minorEastAsia"/>
        </w:rPr>
        <w:t>3、此表应经法定代表人或其授权委托人签名，并加盖投标供应商公章。</w:t>
      </w:r>
    </w:p>
    <w:p>
      <w:pPr>
        <w:ind w:firstLine="424" w:firstLineChars="176"/>
        <w:jc w:val="left"/>
        <w:rPr>
          <w:rFonts w:cs="仿宋" w:asciiTheme="minorEastAsia" w:hAnsiTheme="minorEastAsia" w:eastAsiaTheme="minorEastAsia"/>
          <w:b/>
          <w:sz w:val="24"/>
          <w:szCs w:val="24"/>
        </w:rPr>
      </w:pPr>
      <w:r>
        <w:rPr>
          <w:rFonts w:cs="仿宋" w:asciiTheme="minorEastAsia" w:hAnsiTheme="minorEastAsia" w:eastAsiaTheme="minorEastAsia"/>
          <w:b/>
          <w:sz w:val="24"/>
          <w:szCs w:val="24"/>
        </w:rPr>
        <w:t>4、此表毋需装订于正副本内，应按“</w:t>
      </w:r>
      <w:r>
        <w:rPr>
          <w:rFonts w:hint="eastAsia" w:cs="仿宋" w:asciiTheme="minorEastAsia" w:hAnsiTheme="minorEastAsia" w:eastAsiaTheme="minorEastAsia"/>
          <w:b/>
          <w:sz w:val="24"/>
          <w:szCs w:val="24"/>
        </w:rPr>
        <w:t>投标须知”</w:t>
      </w:r>
      <w:r>
        <w:rPr>
          <w:rFonts w:cs="仿宋" w:asciiTheme="minorEastAsia" w:hAnsiTheme="minorEastAsia" w:eastAsiaTheme="minorEastAsia"/>
          <w:b/>
          <w:sz w:val="24"/>
          <w:szCs w:val="24"/>
        </w:rPr>
        <w:t>18.5项要求，与“法定代表人（负责人）证明书、法定代表人（负责人）授权委托书”一起单独密封提交</w:t>
      </w:r>
    </w:p>
    <w:p>
      <w:pPr>
        <w:ind w:firstLine="413" w:firstLineChars="196"/>
        <w:jc w:val="left"/>
        <w:rPr>
          <w:rFonts w:cs="仿宋" w:asciiTheme="minorEastAsia" w:hAnsiTheme="minorEastAsia" w:eastAsiaTheme="minorEastAsia"/>
          <w:b/>
        </w:rPr>
      </w:pPr>
    </w:p>
    <w:p>
      <w:pPr>
        <w:rPr>
          <w:rFonts w:cs="仿宋" w:asciiTheme="minorEastAsia" w:hAnsiTheme="minorEastAsia" w:eastAsiaTheme="minorEastAsia"/>
        </w:rPr>
      </w:pPr>
    </w:p>
    <w:p>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pPr>
        <w:jc w:val="center"/>
        <w:rPr>
          <w:rFonts w:cs="仿宋" w:asciiTheme="minorEastAsia" w:hAnsiTheme="minorEastAsia" w:eastAsiaTheme="minorEastAsia"/>
          <w:b/>
          <w:bCs/>
          <w:sz w:val="32"/>
          <w:szCs w:val="32"/>
        </w:rPr>
      </w:pPr>
      <w:r>
        <w:rPr>
          <w:rFonts w:hint="eastAsia" w:cs="仿宋" w:asciiTheme="minorEastAsia" w:hAnsiTheme="minorEastAsia" w:eastAsiaTheme="minorEastAsia"/>
          <w:b/>
          <w:sz w:val="32"/>
          <w:szCs w:val="32"/>
        </w:rPr>
        <w:t xml:space="preserve">格式5  </w:t>
      </w:r>
      <w:r>
        <w:rPr>
          <w:rFonts w:hint="eastAsia" w:cs="仿宋" w:asciiTheme="minorEastAsia" w:hAnsiTheme="minorEastAsia" w:eastAsiaTheme="minorEastAsia"/>
          <w:b/>
          <w:bCs/>
          <w:sz w:val="32"/>
          <w:szCs w:val="32"/>
        </w:rPr>
        <w:t>报价表</w:t>
      </w:r>
    </w:p>
    <w:p>
      <w:pPr>
        <w:rPr>
          <w:rFonts w:cs="仿宋" w:asciiTheme="minorEastAsia" w:hAnsiTheme="minorEastAsia" w:eastAsiaTheme="minorEastAsia"/>
        </w:rPr>
      </w:pP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一、报价要求</w:t>
      </w: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1、所有价格应按“征集文件”中规定的货币单位填写。</w:t>
      </w: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2、此表应经法定代表人或授权委托人签名，并加盖公章。</w:t>
      </w: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3、</w:t>
      </w:r>
      <w:r>
        <w:rPr>
          <w:rFonts w:hint="eastAsia" w:ascii="宋体" w:hAnsi="宋体"/>
          <w:szCs w:val="21"/>
        </w:rPr>
        <w:t>投标</w:t>
      </w:r>
      <w:r>
        <w:rPr>
          <w:rFonts w:hint="eastAsia"/>
          <w:snapToGrid w:val="0"/>
          <w:kern w:val="0"/>
        </w:rPr>
        <w:t>报</w:t>
      </w:r>
      <w:r>
        <w:rPr>
          <w:rFonts w:hint="eastAsia" w:ascii="宋体" w:hAnsi="宋体"/>
          <w:szCs w:val="21"/>
        </w:rPr>
        <w:t>价为综合报价，包含完成本项目所需的全部费用</w:t>
      </w:r>
      <w:r>
        <w:rPr>
          <w:rFonts w:hint="eastAsia" w:cs="仿宋" w:asciiTheme="minorEastAsia" w:hAnsiTheme="minorEastAsia" w:eastAsiaTheme="minorEastAsia"/>
        </w:rPr>
        <w:t>。</w:t>
      </w:r>
    </w:p>
    <w:p>
      <w:pPr>
        <w:spacing w:line="360" w:lineRule="auto"/>
        <w:ind w:firstLine="420" w:firstLineChars="200"/>
        <w:rPr>
          <w:rFonts w:cs="仿宋" w:asciiTheme="minorEastAsia" w:hAnsiTheme="minorEastAsia" w:eastAsiaTheme="minorEastAsia"/>
        </w:rPr>
      </w:pPr>
    </w:p>
    <w:p>
      <w:pPr>
        <w:spacing w:line="360" w:lineRule="auto"/>
        <w:ind w:firstLine="643" w:firstLineChars="200"/>
        <w:jc w:val="center"/>
        <w:rPr>
          <w:rFonts w:cs="仿宋" w:asciiTheme="minorEastAsia" w:hAnsiTheme="minorEastAsia" w:eastAsiaTheme="minorEastAsia"/>
          <w:b/>
          <w:bCs/>
          <w:sz w:val="32"/>
          <w:szCs w:val="32"/>
        </w:rPr>
      </w:pPr>
      <w:r>
        <w:rPr>
          <w:rFonts w:hint="eastAsia" w:cs="仿宋" w:asciiTheme="minorEastAsia" w:hAnsiTheme="minorEastAsia" w:eastAsiaTheme="minorEastAsia"/>
          <w:b/>
          <w:bCs/>
          <w:sz w:val="32"/>
          <w:szCs w:val="32"/>
        </w:rPr>
        <w:t>报价表</w:t>
      </w:r>
    </w:p>
    <w:p>
      <w:pPr>
        <w:spacing w:line="360" w:lineRule="auto"/>
        <w:jc w:val="left"/>
        <w:rPr>
          <w:rFonts w:cs="仿宋" w:asciiTheme="minorEastAsia" w:hAnsiTheme="minorEastAsia" w:eastAsiaTheme="minorEastAsia"/>
        </w:rPr>
      </w:pPr>
      <w:r>
        <w:rPr>
          <w:rFonts w:hint="eastAsia" w:cs="仿宋" w:asciiTheme="minorEastAsia" w:hAnsiTheme="minorEastAsia" w:eastAsiaTheme="minorEastAsia"/>
        </w:rPr>
        <w:t>项目名称：</w:t>
      </w:r>
      <w:r>
        <w:rPr>
          <w:rFonts w:hint="eastAsia" w:cs="仿宋" w:asciiTheme="minorEastAsia" w:hAnsiTheme="minorEastAsia" w:eastAsiaTheme="minorEastAsia"/>
          <w:u w:val="single"/>
        </w:rPr>
        <w:t xml:space="preserve">                </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项目编号：</w:t>
      </w:r>
      <w:r>
        <w:rPr>
          <w:rFonts w:hint="eastAsia" w:cs="仿宋" w:asciiTheme="minorEastAsia" w:hAnsiTheme="minorEastAsia" w:eastAsiaTheme="minorEastAsia"/>
          <w:u w:val="single"/>
        </w:rPr>
        <w:t xml:space="preserve">                </w:t>
      </w:r>
    </w:p>
    <w:tbl>
      <w:tblPr>
        <w:tblStyle w:val="1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2410"/>
        <w:gridCol w:w="1576"/>
        <w:gridCol w:w="1576"/>
        <w:gridCol w:w="15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Borders>
              <w:top w:val="double" w:color="auto" w:sz="4" w:space="0"/>
              <w:left w:val="double" w:color="auto" w:sz="4" w:space="0"/>
            </w:tcBorders>
            <w:shd w:val="clear" w:color="auto" w:fill="C6D9F0" w:themeFill="text2" w:themeFillTint="33"/>
            <w:vAlign w:val="center"/>
          </w:tcPr>
          <w:p>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序号</w:t>
            </w:r>
          </w:p>
        </w:tc>
        <w:tc>
          <w:tcPr>
            <w:tcW w:w="2410" w:type="dxa"/>
            <w:tcBorders>
              <w:top w:val="double" w:color="auto" w:sz="4" w:space="0"/>
            </w:tcBorders>
            <w:shd w:val="clear" w:color="auto" w:fill="C6D9F0" w:themeFill="text2" w:themeFillTint="33"/>
            <w:vAlign w:val="center"/>
          </w:tcPr>
          <w:p>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服务内容</w:t>
            </w:r>
          </w:p>
        </w:tc>
        <w:tc>
          <w:tcPr>
            <w:tcW w:w="1576" w:type="dxa"/>
            <w:tcBorders>
              <w:top w:val="double" w:color="auto" w:sz="4" w:space="0"/>
            </w:tcBorders>
            <w:shd w:val="clear" w:color="auto" w:fill="C6D9F0" w:themeFill="text2" w:themeFillTint="33"/>
            <w:vAlign w:val="center"/>
          </w:tcPr>
          <w:p>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数量</w:t>
            </w:r>
          </w:p>
        </w:tc>
        <w:tc>
          <w:tcPr>
            <w:tcW w:w="1576" w:type="dxa"/>
            <w:tcBorders>
              <w:top w:val="double" w:color="auto" w:sz="4" w:space="0"/>
            </w:tcBorders>
            <w:shd w:val="clear" w:color="auto" w:fill="C6D9F0" w:themeFill="text2" w:themeFillTint="33"/>
            <w:vAlign w:val="center"/>
          </w:tcPr>
          <w:p>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单位</w:t>
            </w:r>
          </w:p>
        </w:tc>
        <w:tc>
          <w:tcPr>
            <w:tcW w:w="1576" w:type="dxa"/>
            <w:tcBorders>
              <w:top w:val="double" w:color="auto" w:sz="4" w:space="0"/>
              <w:right w:val="double" w:color="auto" w:sz="4" w:space="0"/>
            </w:tcBorders>
            <w:shd w:val="clear" w:color="auto" w:fill="C6D9F0" w:themeFill="text2" w:themeFillTint="33"/>
            <w:vAlign w:val="center"/>
          </w:tcPr>
          <w:p>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报价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Borders>
              <w:left w:val="double" w:color="auto" w:sz="4" w:space="0"/>
            </w:tcBorders>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1</w:t>
            </w:r>
          </w:p>
        </w:tc>
        <w:tc>
          <w:tcPr>
            <w:tcW w:w="2410" w:type="dxa"/>
            <w:vAlign w:val="center"/>
          </w:tcPr>
          <w:p>
            <w:pPr>
              <w:spacing w:line="360" w:lineRule="auto"/>
              <w:jc w:val="center"/>
              <w:rPr>
                <w:rFonts w:cs="仿宋" w:asciiTheme="minorEastAsia" w:hAnsiTheme="minorEastAsia" w:eastAsiaTheme="minorEastAsia"/>
              </w:rPr>
            </w:pPr>
          </w:p>
        </w:tc>
        <w:tc>
          <w:tcPr>
            <w:tcW w:w="1576" w:type="dxa"/>
            <w:vAlign w:val="center"/>
          </w:tcPr>
          <w:p>
            <w:pPr>
              <w:spacing w:line="360" w:lineRule="auto"/>
              <w:jc w:val="center"/>
              <w:rPr>
                <w:rFonts w:cs="仿宋" w:asciiTheme="minorEastAsia" w:hAnsiTheme="minorEastAsia" w:eastAsiaTheme="minorEastAsia"/>
              </w:rPr>
            </w:pPr>
          </w:p>
        </w:tc>
        <w:tc>
          <w:tcPr>
            <w:tcW w:w="1576" w:type="dxa"/>
            <w:vAlign w:val="center"/>
          </w:tcPr>
          <w:p>
            <w:pPr>
              <w:spacing w:line="360" w:lineRule="auto"/>
              <w:jc w:val="center"/>
              <w:rPr>
                <w:rFonts w:cs="仿宋" w:asciiTheme="minorEastAsia" w:hAnsiTheme="minorEastAsia" w:eastAsiaTheme="minorEastAsia"/>
              </w:rPr>
            </w:pPr>
          </w:p>
        </w:tc>
        <w:tc>
          <w:tcPr>
            <w:tcW w:w="1576" w:type="dxa"/>
            <w:tcBorders>
              <w:right w:val="double" w:color="auto" w:sz="4" w:space="0"/>
            </w:tcBorders>
            <w:vAlign w:val="center"/>
          </w:tcPr>
          <w:p>
            <w:pPr>
              <w:spacing w:line="360" w:lineRule="auto"/>
              <w:jc w:val="center"/>
              <w:rPr>
                <w:rFonts w:cs="仿宋" w:asciiTheme="minorEastAsia" w:hAnsiTheme="minorEastAsia" w:eastAsia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Borders>
              <w:left w:val="double" w:color="auto" w:sz="4" w:space="0"/>
            </w:tcBorders>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2</w:t>
            </w:r>
          </w:p>
        </w:tc>
        <w:tc>
          <w:tcPr>
            <w:tcW w:w="2410" w:type="dxa"/>
            <w:vAlign w:val="center"/>
          </w:tcPr>
          <w:p>
            <w:pPr>
              <w:spacing w:line="360" w:lineRule="auto"/>
              <w:jc w:val="center"/>
              <w:rPr>
                <w:rFonts w:cs="仿宋" w:asciiTheme="minorEastAsia" w:hAnsiTheme="minorEastAsia" w:eastAsiaTheme="minorEastAsia"/>
              </w:rPr>
            </w:pPr>
          </w:p>
        </w:tc>
        <w:tc>
          <w:tcPr>
            <w:tcW w:w="1576" w:type="dxa"/>
            <w:vAlign w:val="center"/>
          </w:tcPr>
          <w:p>
            <w:pPr>
              <w:spacing w:line="360" w:lineRule="auto"/>
              <w:jc w:val="center"/>
              <w:rPr>
                <w:rFonts w:cs="仿宋" w:asciiTheme="minorEastAsia" w:hAnsiTheme="minorEastAsia" w:eastAsiaTheme="minorEastAsia"/>
              </w:rPr>
            </w:pPr>
          </w:p>
        </w:tc>
        <w:tc>
          <w:tcPr>
            <w:tcW w:w="1576" w:type="dxa"/>
            <w:vAlign w:val="center"/>
          </w:tcPr>
          <w:p>
            <w:pPr>
              <w:spacing w:line="360" w:lineRule="auto"/>
              <w:jc w:val="center"/>
              <w:rPr>
                <w:rFonts w:cs="仿宋" w:asciiTheme="minorEastAsia" w:hAnsiTheme="minorEastAsia" w:eastAsiaTheme="minorEastAsia"/>
              </w:rPr>
            </w:pPr>
          </w:p>
        </w:tc>
        <w:tc>
          <w:tcPr>
            <w:tcW w:w="1576" w:type="dxa"/>
            <w:tcBorders>
              <w:right w:val="double" w:color="auto" w:sz="4" w:space="0"/>
            </w:tcBorders>
            <w:vAlign w:val="center"/>
          </w:tcPr>
          <w:p>
            <w:pPr>
              <w:spacing w:line="360" w:lineRule="auto"/>
              <w:jc w:val="center"/>
              <w:rPr>
                <w:rFonts w:cs="仿宋" w:asciiTheme="minorEastAsia" w:hAnsiTheme="minorEastAsia" w:eastAsia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Borders>
              <w:left w:val="double" w:color="auto" w:sz="4" w:space="0"/>
            </w:tcBorders>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3</w:t>
            </w:r>
          </w:p>
        </w:tc>
        <w:tc>
          <w:tcPr>
            <w:tcW w:w="2410" w:type="dxa"/>
            <w:vAlign w:val="center"/>
          </w:tcPr>
          <w:p>
            <w:pPr>
              <w:spacing w:line="360" w:lineRule="auto"/>
              <w:jc w:val="center"/>
              <w:rPr>
                <w:rFonts w:cs="仿宋" w:asciiTheme="minorEastAsia" w:hAnsiTheme="minorEastAsia" w:eastAsiaTheme="minorEastAsia"/>
              </w:rPr>
            </w:pPr>
          </w:p>
        </w:tc>
        <w:tc>
          <w:tcPr>
            <w:tcW w:w="1576" w:type="dxa"/>
            <w:vAlign w:val="center"/>
          </w:tcPr>
          <w:p>
            <w:pPr>
              <w:spacing w:line="360" w:lineRule="auto"/>
              <w:jc w:val="center"/>
              <w:rPr>
                <w:rFonts w:cs="仿宋" w:asciiTheme="minorEastAsia" w:hAnsiTheme="minorEastAsia" w:eastAsiaTheme="minorEastAsia"/>
              </w:rPr>
            </w:pPr>
          </w:p>
        </w:tc>
        <w:tc>
          <w:tcPr>
            <w:tcW w:w="1576" w:type="dxa"/>
            <w:vAlign w:val="center"/>
          </w:tcPr>
          <w:p>
            <w:pPr>
              <w:spacing w:line="360" w:lineRule="auto"/>
              <w:jc w:val="center"/>
              <w:rPr>
                <w:rFonts w:cs="仿宋" w:asciiTheme="minorEastAsia" w:hAnsiTheme="minorEastAsia" w:eastAsiaTheme="minorEastAsia"/>
              </w:rPr>
            </w:pPr>
          </w:p>
        </w:tc>
        <w:tc>
          <w:tcPr>
            <w:tcW w:w="1576" w:type="dxa"/>
            <w:tcBorders>
              <w:right w:val="double" w:color="auto" w:sz="4" w:space="0"/>
            </w:tcBorders>
            <w:vAlign w:val="center"/>
          </w:tcPr>
          <w:p>
            <w:pPr>
              <w:spacing w:line="360" w:lineRule="auto"/>
              <w:jc w:val="center"/>
              <w:rPr>
                <w:rFonts w:cs="仿宋" w:asciiTheme="minorEastAsia" w:hAnsiTheme="minorEastAsia" w:eastAsia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Borders>
              <w:left w:val="double" w:color="auto" w:sz="4" w:space="0"/>
              <w:bottom w:val="single" w:color="000000" w:themeColor="text1" w:sz="4" w:space="0"/>
            </w:tcBorders>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w:t>
            </w:r>
          </w:p>
        </w:tc>
        <w:tc>
          <w:tcPr>
            <w:tcW w:w="2410" w:type="dxa"/>
            <w:tcBorders>
              <w:bottom w:val="single" w:color="000000" w:themeColor="text1" w:sz="4" w:space="0"/>
            </w:tcBorders>
            <w:vAlign w:val="center"/>
          </w:tcPr>
          <w:p>
            <w:pPr>
              <w:spacing w:line="360" w:lineRule="auto"/>
              <w:jc w:val="center"/>
              <w:rPr>
                <w:rFonts w:cs="仿宋" w:asciiTheme="minorEastAsia" w:hAnsiTheme="minorEastAsia" w:eastAsiaTheme="minorEastAsia"/>
              </w:rPr>
            </w:pPr>
          </w:p>
        </w:tc>
        <w:tc>
          <w:tcPr>
            <w:tcW w:w="1576" w:type="dxa"/>
            <w:vAlign w:val="center"/>
          </w:tcPr>
          <w:p>
            <w:pPr>
              <w:spacing w:line="360" w:lineRule="auto"/>
              <w:jc w:val="center"/>
              <w:rPr>
                <w:rFonts w:cs="仿宋" w:asciiTheme="minorEastAsia" w:hAnsiTheme="minorEastAsia" w:eastAsiaTheme="minorEastAsia"/>
              </w:rPr>
            </w:pPr>
          </w:p>
        </w:tc>
        <w:tc>
          <w:tcPr>
            <w:tcW w:w="1576" w:type="dxa"/>
            <w:vAlign w:val="center"/>
          </w:tcPr>
          <w:p>
            <w:pPr>
              <w:spacing w:line="360" w:lineRule="auto"/>
              <w:jc w:val="center"/>
              <w:rPr>
                <w:rFonts w:cs="仿宋" w:asciiTheme="minorEastAsia" w:hAnsiTheme="minorEastAsia" w:eastAsiaTheme="minorEastAsia"/>
              </w:rPr>
            </w:pPr>
          </w:p>
        </w:tc>
        <w:tc>
          <w:tcPr>
            <w:tcW w:w="1576" w:type="dxa"/>
            <w:tcBorders>
              <w:right w:val="double" w:color="auto" w:sz="4" w:space="0"/>
            </w:tcBorders>
            <w:vAlign w:val="center"/>
          </w:tcPr>
          <w:p>
            <w:pPr>
              <w:spacing w:line="360" w:lineRule="auto"/>
              <w:jc w:val="center"/>
              <w:rPr>
                <w:rFonts w:cs="仿宋" w:asciiTheme="minorEastAsia" w:hAnsiTheme="minorEastAsia" w:eastAsia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4" w:type="dxa"/>
            <w:gridSpan w:val="2"/>
            <w:tcBorders>
              <w:left w:val="double" w:color="auto" w:sz="4" w:space="0"/>
              <w:bottom w:val="double" w:color="auto" w:sz="4" w:space="0"/>
            </w:tcBorders>
            <w:shd w:val="clear" w:color="auto" w:fill="DDD9C4" w:themeFill="background2" w:themeFillShade="E6"/>
            <w:vAlign w:val="center"/>
          </w:tcPr>
          <w:p>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合  计：</w:t>
            </w:r>
          </w:p>
        </w:tc>
        <w:tc>
          <w:tcPr>
            <w:tcW w:w="4728" w:type="dxa"/>
            <w:gridSpan w:val="3"/>
            <w:tcBorders>
              <w:bottom w:val="double" w:color="auto" w:sz="4" w:space="0"/>
              <w:right w:val="double" w:color="auto" w:sz="4" w:space="0"/>
            </w:tcBorders>
            <w:vAlign w:val="center"/>
          </w:tcPr>
          <w:p>
            <w:pPr>
              <w:spacing w:line="360" w:lineRule="auto"/>
              <w:jc w:val="center"/>
              <w:rPr>
                <w:rFonts w:cs="仿宋" w:asciiTheme="minorEastAsia" w:hAnsiTheme="minorEastAsia" w:eastAsiaTheme="minorEastAsia"/>
              </w:rPr>
            </w:pPr>
          </w:p>
        </w:tc>
      </w:tr>
    </w:tbl>
    <w:p>
      <w:pPr>
        <w:spacing w:line="360" w:lineRule="auto"/>
        <w:rPr>
          <w:rFonts w:cs="仿宋" w:asciiTheme="minorEastAsia" w:hAnsiTheme="minorEastAsia" w:eastAsiaTheme="minorEastAsia"/>
        </w:rPr>
      </w:pPr>
      <w:r>
        <w:rPr>
          <w:rFonts w:hint="eastAsia" w:cs="仿宋" w:asciiTheme="minorEastAsia" w:hAnsiTheme="minorEastAsia" w:eastAsiaTheme="minorEastAsia"/>
        </w:rPr>
        <w:t>注：本表格式可调整，报价表上的合计金额应与开标一览表的投标报价金额一致。</w:t>
      </w:r>
    </w:p>
    <w:p>
      <w:pPr>
        <w:pStyle w:val="17"/>
        <w:rPr>
          <w:rFonts w:asciiTheme="minorEastAsia" w:hAnsiTheme="minorEastAsia" w:eastAsiaTheme="minorEastAsia"/>
        </w:rPr>
      </w:pP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投标供应商：（公章）</w:t>
      </w: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法定代表人或授权代表：（签章）</w:t>
      </w:r>
    </w:p>
    <w:p>
      <w:pPr>
        <w:spacing w:line="360" w:lineRule="auto"/>
        <w:ind w:firstLine="630"/>
        <w:rPr>
          <w:rFonts w:cs="仿宋" w:asciiTheme="minorEastAsia" w:hAnsiTheme="minorEastAsia" w:eastAsiaTheme="minorEastAsia"/>
        </w:rPr>
      </w:pPr>
    </w:p>
    <w:p>
      <w:pPr>
        <w:spacing w:line="360" w:lineRule="auto"/>
        <w:jc w:val="right"/>
        <w:rPr>
          <w:rFonts w:cs="仿宋" w:asciiTheme="minorEastAsia" w:hAnsiTheme="minorEastAsia" w:eastAsiaTheme="minorEastAsia"/>
        </w:rPr>
      </w:pP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 xml:space="preserve">月 </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pPr>
        <w:jc w:val="center"/>
        <w:rPr>
          <w:rFonts w:cs="仿宋" w:asciiTheme="minorEastAsia" w:hAnsiTheme="minorEastAsia" w:eastAsiaTheme="minorEastAsia"/>
          <w:b/>
          <w:bCs/>
          <w:sz w:val="32"/>
          <w:szCs w:val="32"/>
        </w:rPr>
      </w:pPr>
      <w:r>
        <w:rPr>
          <w:rFonts w:hint="eastAsia" w:cs="仿宋" w:asciiTheme="minorEastAsia" w:hAnsiTheme="minorEastAsia" w:eastAsiaTheme="minorEastAsia"/>
          <w:b/>
          <w:sz w:val="32"/>
          <w:szCs w:val="32"/>
        </w:rPr>
        <w:t xml:space="preserve">格式6  </w:t>
      </w:r>
      <w:r>
        <w:rPr>
          <w:rFonts w:hint="eastAsia" w:cs="仿宋" w:asciiTheme="minorEastAsia" w:hAnsiTheme="minorEastAsia" w:eastAsiaTheme="minorEastAsia"/>
          <w:b/>
          <w:bCs/>
          <w:sz w:val="32"/>
          <w:szCs w:val="32"/>
        </w:rPr>
        <w:t>服务方案</w:t>
      </w:r>
    </w:p>
    <w:p>
      <w:pPr>
        <w:rPr>
          <w:rFonts w:cs="仿宋" w:asciiTheme="minorEastAsia" w:hAnsiTheme="minorEastAsia" w:eastAsiaTheme="minorEastAsia"/>
          <w:highlight w:val="yellow"/>
        </w:rPr>
      </w:pPr>
    </w:p>
    <w:p>
      <w:pPr>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1、实施方案</w:t>
      </w:r>
    </w:p>
    <w:p>
      <w:pPr>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2、项目重点难点分析、应对措施及相关的合理化建议</w:t>
      </w:r>
    </w:p>
    <w:p>
      <w:pPr>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3、</w:t>
      </w:r>
      <w:r>
        <w:rPr>
          <w:rFonts w:hint="eastAsia" w:cs="仿宋" w:asciiTheme="minorEastAsia" w:hAnsiTheme="minorEastAsia" w:eastAsiaTheme="minorEastAsia"/>
          <w:kern w:val="0"/>
          <w:sz w:val="22"/>
        </w:rPr>
        <w:t>质量（完成时间、安全、环保）保障措施及方案</w:t>
      </w:r>
    </w:p>
    <w:p>
      <w:pPr>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4、</w:t>
      </w:r>
      <w:r>
        <w:rPr>
          <w:rFonts w:hint="eastAsia" w:cs="仿宋" w:asciiTheme="minorEastAsia" w:hAnsiTheme="minorEastAsia" w:eastAsiaTheme="minorEastAsia"/>
          <w:kern w:val="0"/>
          <w:sz w:val="22"/>
        </w:rPr>
        <w:t>项目完成（服务期满）后的服务承</w:t>
      </w:r>
    </w:p>
    <w:p>
      <w:pPr>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5、违约承诺</w:t>
      </w:r>
    </w:p>
    <w:p>
      <w:pPr>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6、项目负责人情况（仅限一人）</w:t>
      </w:r>
    </w:p>
    <w:p>
      <w:pPr>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7、拟派项目团队（项目负责人除外）</w:t>
      </w:r>
    </w:p>
    <w:p>
      <w:pPr>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8、拟投入的服务资源（车辆、场地、工具、机器等）情况</w:t>
      </w:r>
    </w:p>
    <w:p>
      <w:pPr>
        <w:spacing w:line="360" w:lineRule="auto"/>
        <w:rPr>
          <w:rFonts w:cs="仿宋" w:asciiTheme="minorEastAsia" w:hAnsiTheme="minorEastAsia" w:eastAsiaTheme="minorEastAsia"/>
          <w:sz w:val="22"/>
          <w:szCs w:val="21"/>
        </w:rPr>
      </w:pPr>
      <w:r>
        <w:rPr>
          <w:rFonts w:hint="eastAsia" w:cs="仿宋" w:asciiTheme="minorEastAsia" w:hAnsiTheme="minorEastAsia" w:eastAsiaTheme="minorEastAsia"/>
          <w:sz w:val="22"/>
        </w:rPr>
        <w:t>9、</w:t>
      </w:r>
      <w:r>
        <w:rPr>
          <w:rFonts w:hint="eastAsia" w:cs="仿宋" w:asciiTheme="minorEastAsia" w:hAnsiTheme="minorEastAsia" w:eastAsiaTheme="minorEastAsia"/>
          <w:sz w:val="22"/>
          <w:szCs w:val="21"/>
        </w:rPr>
        <w:t>认证情况</w:t>
      </w:r>
    </w:p>
    <w:p>
      <w:pPr>
        <w:pStyle w:val="17"/>
        <w:spacing w:after="0" w:line="360" w:lineRule="auto"/>
        <w:ind w:left="0" w:leftChars="0" w:firstLine="0" w:firstLineChars="0"/>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10、同类业绩</w:t>
      </w:r>
    </w:p>
    <w:p>
      <w:pPr>
        <w:pStyle w:val="17"/>
        <w:spacing w:after="0" w:line="360" w:lineRule="auto"/>
        <w:ind w:left="0" w:leftChars="0" w:firstLine="0" w:firstLineChars="0"/>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11、售后服务机构</w:t>
      </w:r>
    </w:p>
    <w:p>
      <w:pPr>
        <w:pStyle w:val="17"/>
        <w:spacing w:after="0" w:line="360" w:lineRule="auto"/>
        <w:ind w:left="0" w:leftChars="0" w:firstLine="0" w:firstLineChars="0"/>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12、诚信情况</w:t>
      </w:r>
    </w:p>
    <w:p>
      <w:pPr>
        <w:pStyle w:val="17"/>
        <w:spacing w:after="0" w:line="360" w:lineRule="auto"/>
        <w:ind w:left="0" w:leftChars="0" w:firstLine="0" w:firstLineChars="0"/>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13、投标供应商认为必要的其他方案</w:t>
      </w:r>
    </w:p>
    <w:p>
      <w:pPr>
        <w:rPr>
          <w:rFonts w:cs="仿宋" w:asciiTheme="minorEastAsia" w:hAnsiTheme="minorEastAsia" w:eastAsiaTheme="minorEastAsia"/>
          <w:highlight w:val="yellow"/>
        </w:rPr>
      </w:pPr>
    </w:p>
    <w:p>
      <w:pPr>
        <w:widowControl/>
        <w:jc w:val="left"/>
        <w:rPr>
          <w:rFonts w:cs="仿宋" w:asciiTheme="minorEastAsia" w:hAnsiTheme="minorEastAsia" w:eastAsiaTheme="minorEastAsia"/>
        </w:rPr>
      </w:pPr>
      <w:r>
        <w:rPr>
          <w:rFonts w:cs="仿宋" w:asciiTheme="minorEastAsia" w:hAnsiTheme="minorEastAsia" w:eastAsiaTheme="minorEastAsia"/>
        </w:rPr>
        <w:br w:type="page"/>
      </w:r>
    </w:p>
    <w:p>
      <w:pPr>
        <w:rPr>
          <w:rFonts w:cs="仿宋" w:asciiTheme="minorEastAsia" w:hAnsiTheme="minorEastAsia" w:eastAsiaTheme="minorEastAsia"/>
        </w:rPr>
      </w:pPr>
      <w:r>
        <w:rPr>
          <w:rFonts w:hint="eastAsia" w:cs="仿宋" w:asciiTheme="minorEastAsia" w:hAnsiTheme="minorEastAsia" w:eastAsiaTheme="minorEastAsia"/>
        </w:rPr>
        <w:t>附表1</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项目人员情况一览表</w:t>
      </w:r>
    </w:p>
    <w:tbl>
      <w:tblPr>
        <w:tblStyle w:val="1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851"/>
        <w:gridCol w:w="921"/>
        <w:gridCol w:w="922"/>
        <w:gridCol w:w="1417"/>
        <w:gridCol w:w="1276"/>
        <w:gridCol w:w="1134"/>
        <w:gridCol w:w="13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top w:val="double" w:color="auto" w:sz="4" w:space="0"/>
              <w:left w:val="double" w:color="auto" w:sz="4" w:space="0"/>
            </w:tcBorders>
            <w:shd w:val="clear" w:color="auto" w:fill="C6D9F0" w:themeFill="text2" w:themeFillTint="33"/>
            <w:vAlign w:val="center"/>
          </w:tcPr>
          <w:p>
            <w:pPr>
              <w:spacing w:line="276" w:lineRule="auto"/>
              <w:jc w:val="center"/>
              <w:rPr>
                <w:rFonts w:cs="仿宋" w:asciiTheme="minorEastAsia" w:hAnsiTheme="minorEastAsia" w:eastAsiaTheme="minorEastAsia"/>
                <w:b/>
              </w:rPr>
            </w:pPr>
            <w:r>
              <w:rPr>
                <w:rFonts w:hint="eastAsia" w:cs="仿宋" w:asciiTheme="minorEastAsia" w:hAnsiTheme="minorEastAsia" w:eastAsiaTheme="minorEastAsia"/>
                <w:b/>
              </w:rPr>
              <w:t>序号</w:t>
            </w:r>
          </w:p>
        </w:tc>
        <w:tc>
          <w:tcPr>
            <w:tcW w:w="851" w:type="dxa"/>
            <w:tcBorders>
              <w:top w:val="double" w:color="auto" w:sz="4" w:space="0"/>
            </w:tcBorders>
            <w:shd w:val="clear" w:color="auto" w:fill="C6D9F0" w:themeFill="text2" w:themeFillTint="33"/>
            <w:vAlign w:val="center"/>
          </w:tcPr>
          <w:p>
            <w:pPr>
              <w:spacing w:line="276" w:lineRule="auto"/>
              <w:jc w:val="center"/>
              <w:rPr>
                <w:rFonts w:cs="仿宋" w:asciiTheme="minorEastAsia" w:hAnsiTheme="minorEastAsia" w:eastAsiaTheme="minorEastAsia"/>
                <w:b/>
              </w:rPr>
            </w:pPr>
            <w:r>
              <w:rPr>
                <w:rFonts w:hint="eastAsia" w:cs="仿宋" w:asciiTheme="minorEastAsia" w:hAnsiTheme="minorEastAsia" w:eastAsiaTheme="minorEastAsia"/>
                <w:b/>
              </w:rPr>
              <w:t>类别</w:t>
            </w:r>
          </w:p>
        </w:tc>
        <w:tc>
          <w:tcPr>
            <w:tcW w:w="921" w:type="dxa"/>
            <w:tcBorders>
              <w:top w:val="double" w:color="auto" w:sz="4" w:space="0"/>
            </w:tcBorders>
            <w:shd w:val="clear" w:color="auto" w:fill="C6D9F0" w:themeFill="text2" w:themeFillTint="33"/>
            <w:vAlign w:val="center"/>
          </w:tcPr>
          <w:p>
            <w:pPr>
              <w:spacing w:line="276" w:lineRule="auto"/>
              <w:jc w:val="center"/>
              <w:rPr>
                <w:rFonts w:cs="仿宋" w:asciiTheme="minorEastAsia" w:hAnsiTheme="minorEastAsia" w:eastAsiaTheme="minorEastAsia"/>
                <w:b/>
              </w:rPr>
            </w:pPr>
            <w:r>
              <w:rPr>
                <w:rFonts w:hint="eastAsia" w:cs="仿宋" w:asciiTheme="minorEastAsia" w:hAnsiTheme="minorEastAsia" w:eastAsiaTheme="minorEastAsia"/>
                <w:b/>
              </w:rPr>
              <w:t>姓名</w:t>
            </w:r>
          </w:p>
        </w:tc>
        <w:tc>
          <w:tcPr>
            <w:tcW w:w="922" w:type="dxa"/>
            <w:tcBorders>
              <w:top w:val="double" w:color="auto" w:sz="4" w:space="0"/>
            </w:tcBorders>
            <w:shd w:val="clear" w:color="auto" w:fill="C6D9F0" w:themeFill="text2" w:themeFillTint="33"/>
            <w:vAlign w:val="center"/>
          </w:tcPr>
          <w:p>
            <w:pPr>
              <w:spacing w:line="276" w:lineRule="auto"/>
              <w:jc w:val="center"/>
              <w:rPr>
                <w:rFonts w:cs="仿宋" w:asciiTheme="minorEastAsia" w:hAnsiTheme="minorEastAsia" w:eastAsiaTheme="minorEastAsia"/>
                <w:b/>
              </w:rPr>
            </w:pPr>
            <w:r>
              <w:rPr>
                <w:rFonts w:hint="eastAsia" w:cs="仿宋" w:asciiTheme="minorEastAsia" w:hAnsiTheme="minorEastAsia" w:eastAsiaTheme="minorEastAsia"/>
                <w:b/>
              </w:rPr>
              <w:t>学历</w:t>
            </w:r>
          </w:p>
        </w:tc>
        <w:tc>
          <w:tcPr>
            <w:tcW w:w="1417" w:type="dxa"/>
            <w:tcBorders>
              <w:top w:val="double" w:color="auto" w:sz="4" w:space="0"/>
            </w:tcBorders>
            <w:shd w:val="clear" w:color="auto" w:fill="C6D9F0" w:themeFill="text2" w:themeFillTint="33"/>
            <w:vAlign w:val="center"/>
          </w:tcPr>
          <w:p>
            <w:pPr>
              <w:spacing w:line="276" w:lineRule="auto"/>
              <w:jc w:val="center"/>
              <w:rPr>
                <w:rFonts w:cs="仿宋" w:asciiTheme="minorEastAsia" w:hAnsiTheme="minorEastAsia" w:eastAsiaTheme="minorEastAsia"/>
                <w:b/>
              </w:rPr>
            </w:pPr>
            <w:r>
              <w:rPr>
                <w:rFonts w:hint="eastAsia" w:cs="仿宋" w:asciiTheme="minorEastAsia" w:hAnsiTheme="minorEastAsia" w:eastAsiaTheme="minorEastAsia"/>
                <w:b/>
              </w:rPr>
              <w:t>岗位及职务</w:t>
            </w:r>
          </w:p>
        </w:tc>
        <w:tc>
          <w:tcPr>
            <w:tcW w:w="1276" w:type="dxa"/>
            <w:tcBorders>
              <w:top w:val="double" w:color="auto" w:sz="4" w:space="0"/>
            </w:tcBorders>
            <w:shd w:val="clear" w:color="auto" w:fill="C6D9F0" w:themeFill="text2" w:themeFillTint="33"/>
            <w:vAlign w:val="center"/>
          </w:tcPr>
          <w:p>
            <w:pPr>
              <w:spacing w:line="276" w:lineRule="auto"/>
              <w:ind w:right="-53" w:rightChars="-25"/>
              <w:jc w:val="center"/>
              <w:rPr>
                <w:rFonts w:cs="仿宋" w:asciiTheme="minorEastAsia" w:hAnsiTheme="minorEastAsia" w:eastAsiaTheme="minorEastAsia"/>
                <w:b/>
              </w:rPr>
            </w:pPr>
            <w:r>
              <w:rPr>
                <w:rFonts w:hint="eastAsia" w:cs="仿宋" w:asciiTheme="minorEastAsia" w:hAnsiTheme="minorEastAsia" w:eastAsiaTheme="minorEastAsia"/>
                <w:b/>
              </w:rPr>
              <w:t>持何种资格证件</w:t>
            </w:r>
          </w:p>
        </w:tc>
        <w:tc>
          <w:tcPr>
            <w:tcW w:w="1134" w:type="dxa"/>
            <w:tcBorders>
              <w:top w:val="double" w:color="auto" w:sz="4" w:space="0"/>
            </w:tcBorders>
            <w:shd w:val="clear" w:color="auto" w:fill="C6D9F0" w:themeFill="text2" w:themeFillTint="33"/>
            <w:vAlign w:val="center"/>
          </w:tcPr>
          <w:p>
            <w:pPr>
              <w:spacing w:line="276" w:lineRule="auto"/>
              <w:jc w:val="center"/>
              <w:rPr>
                <w:rFonts w:cs="仿宋" w:asciiTheme="minorEastAsia" w:hAnsiTheme="minorEastAsia" w:eastAsiaTheme="minorEastAsia"/>
                <w:b/>
              </w:rPr>
            </w:pPr>
            <w:r>
              <w:rPr>
                <w:rFonts w:hint="eastAsia" w:cs="仿宋" w:asciiTheme="minorEastAsia" w:hAnsiTheme="minorEastAsia" w:eastAsiaTheme="minorEastAsia"/>
                <w:b/>
              </w:rPr>
              <w:t>发证时间</w:t>
            </w:r>
          </w:p>
        </w:tc>
        <w:tc>
          <w:tcPr>
            <w:tcW w:w="1326" w:type="dxa"/>
            <w:tcBorders>
              <w:top w:val="double" w:color="auto" w:sz="4" w:space="0"/>
              <w:right w:val="double" w:color="auto" w:sz="4" w:space="0"/>
            </w:tcBorders>
            <w:shd w:val="clear" w:color="auto" w:fill="C6D9F0" w:themeFill="text2" w:themeFillTint="33"/>
            <w:vAlign w:val="center"/>
          </w:tcPr>
          <w:p>
            <w:pPr>
              <w:spacing w:line="276" w:lineRule="auto"/>
              <w:jc w:val="center"/>
              <w:rPr>
                <w:rFonts w:cs="仿宋" w:asciiTheme="minorEastAsia" w:hAnsiTheme="minorEastAsia" w:eastAsiaTheme="minorEastAsia"/>
                <w:b/>
              </w:rPr>
            </w:pPr>
            <w:r>
              <w:rPr>
                <w:rFonts w:hint="eastAsia" w:cs="仿宋" w:asciiTheme="minorEastAsia" w:hAnsiTheme="minorEastAsia" w:eastAsiaTheme="minorEastAsia"/>
                <w:b/>
              </w:rPr>
              <w:t>工作经验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left w:val="double" w:color="auto" w:sz="4" w:space="0"/>
            </w:tcBorders>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1</w:t>
            </w:r>
          </w:p>
        </w:tc>
        <w:tc>
          <w:tcPr>
            <w:tcW w:w="851" w:type="dxa"/>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项目负责人</w:t>
            </w:r>
          </w:p>
        </w:tc>
        <w:tc>
          <w:tcPr>
            <w:tcW w:w="921" w:type="dxa"/>
            <w:vAlign w:val="center"/>
          </w:tcPr>
          <w:p>
            <w:pPr>
              <w:spacing w:line="360" w:lineRule="auto"/>
              <w:jc w:val="center"/>
              <w:rPr>
                <w:rFonts w:cs="仿宋" w:asciiTheme="minorEastAsia" w:hAnsiTheme="minorEastAsia" w:eastAsiaTheme="minorEastAsia"/>
              </w:rPr>
            </w:pPr>
          </w:p>
        </w:tc>
        <w:tc>
          <w:tcPr>
            <w:tcW w:w="922" w:type="dxa"/>
            <w:vAlign w:val="center"/>
          </w:tcPr>
          <w:p>
            <w:pPr>
              <w:spacing w:line="360" w:lineRule="auto"/>
              <w:jc w:val="center"/>
              <w:rPr>
                <w:rFonts w:cs="仿宋" w:asciiTheme="minorEastAsia" w:hAnsiTheme="minorEastAsia" w:eastAsiaTheme="minorEastAsia"/>
              </w:rPr>
            </w:pPr>
          </w:p>
        </w:tc>
        <w:tc>
          <w:tcPr>
            <w:tcW w:w="1417" w:type="dxa"/>
            <w:vAlign w:val="center"/>
          </w:tcPr>
          <w:p>
            <w:pPr>
              <w:spacing w:line="360" w:lineRule="auto"/>
              <w:jc w:val="center"/>
              <w:rPr>
                <w:rFonts w:cs="仿宋" w:asciiTheme="minorEastAsia" w:hAnsiTheme="minorEastAsia" w:eastAsiaTheme="minorEastAsia"/>
              </w:rPr>
            </w:pPr>
          </w:p>
        </w:tc>
        <w:tc>
          <w:tcPr>
            <w:tcW w:w="1276" w:type="dxa"/>
            <w:vAlign w:val="center"/>
          </w:tcPr>
          <w:p>
            <w:pPr>
              <w:spacing w:line="360" w:lineRule="auto"/>
              <w:jc w:val="center"/>
              <w:rPr>
                <w:rFonts w:cs="仿宋" w:asciiTheme="minorEastAsia" w:hAnsiTheme="minorEastAsia" w:eastAsiaTheme="minorEastAsia"/>
              </w:rPr>
            </w:pPr>
          </w:p>
        </w:tc>
        <w:tc>
          <w:tcPr>
            <w:tcW w:w="1134" w:type="dxa"/>
            <w:vAlign w:val="center"/>
          </w:tcPr>
          <w:p>
            <w:pPr>
              <w:spacing w:line="360" w:lineRule="auto"/>
              <w:jc w:val="center"/>
              <w:rPr>
                <w:rFonts w:cs="仿宋" w:asciiTheme="minorEastAsia" w:hAnsiTheme="minorEastAsia" w:eastAsiaTheme="minorEastAsia"/>
              </w:rPr>
            </w:pPr>
          </w:p>
        </w:tc>
        <w:tc>
          <w:tcPr>
            <w:tcW w:w="1326" w:type="dxa"/>
            <w:tcBorders>
              <w:right w:val="double" w:color="auto" w:sz="4" w:space="0"/>
            </w:tcBorders>
            <w:vAlign w:val="center"/>
          </w:tcPr>
          <w:p>
            <w:pPr>
              <w:spacing w:line="360" w:lineRule="auto"/>
              <w:jc w:val="center"/>
              <w:rPr>
                <w:rFonts w:cs="仿宋" w:asciiTheme="minorEastAsia" w:hAnsiTheme="minorEastAsia" w:eastAsia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left w:val="double" w:color="auto" w:sz="4" w:space="0"/>
            </w:tcBorders>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2</w:t>
            </w:r>
          </w:p>
        </w:tc>
        <w:tc>
          <w:tcPr>
            <w:tcW w:w="851" w:type="dxa"/>
            <w:vMerge w:val="restart"/>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项目团队成员</w:t>
            </w:r>
          </w:p>
        </w:tc>
        <w:tc>
          <w:tcPr>
            <w:tcW w:w="921" w:type="dxa"/>
            <w:vAlign w:val="center"/>
          </w:tcPr>
          <w:p>
            <w:pPr>
              <w:spacing w:line="360" w:lineRule="auto"/>
              <w:jc w:val="center"/>
              <w:rPr>
                <w:rFonts w:cs="仿宋" w:asciiTheme="minorEastAsia" w:hAnsiTheme="minorEastAsia" w:eastAsiaTheme="minorEastAsia"/>
              </w:rPr>
            </w:pPr>
          </w:p>
        </w:tc>
        <w:tc>
          <w:tcPr>
            <w:tcW w:w="922" w:type="dxa"/>
            <w:vAlign w:val="center"/>
          </w:tcPr>
          <w:p>
            <w:pPr>
              <w:spacing w:line="360" w:lineRule="auto"/>
              <w:jc w:val="center"/>
              <w:rPr>
                <w:rFonts w:cs="仿宋" w:asciiTheme="minorEastAsia" w:hAnsiTheme="minorEastAsia" w:eastAsiaTheme="minorEastAsia"/>
              </w:rPr>
            </w:pPr>
          </w:p>
        </w:tc>
        <w:tc>
          <w:tcPr>
            <w:tcW w:w="1417" w:type="dxa"/>
            <w:vAlign w:val="center"/>
          </w:tcPr>
          <w:p>
            <w:pPr>
              <w:spacing w:line="360" w:lineRule="auto"/>
              <w:jc w:val="center"/>
              <w:rPr>
                <w:rFonts w:cs="仿宋" w:asciiTheme="minorEastAsia" w:hAnsiTheme="minorEastAsia" w:eastAsiaTheme="minorEastAsia"/>
              </w:rPr>
            </w:pPr>
          </w:p>
        </w:tc>
        <w:tc>
          <w:tcPr>
            <w:tcW w:w="1276" w:type="dxa"/>
            <w:vAlign w:val="center"/>
          </w:tcPr>
          <w:p>
            <w:pPr>
              <w:spacing w:line="360" w:lineRule="auto"/>
              <w:jc w:val="center"/>
              <w:rPr>
                <w:rFonts w:cs="仿宋" w:asciiTheme="minorEastAsia" w:hAnsiTheme="minorEastAsia" w:eastAsiaTheme="minorEastAsia"/>
              </w:rPr>
            </w:pPr>
          </w:p>
        </w:tc>
        <w:tc>
          <w:tcPr>
            <w:tcW w:w="1134" w:type="dxa"/>
            <w:vAlign w:val="center"/>
          </w:tcPr>
          <w:p>
            <w:pPr>
              <w:spacing w:line="360" w:lineRule="auto"/>
              <w:jc w:val="center"/>
              <w:rPr>
                <w:rFonts w:cs="仿宋" w:asciiTheme="minorEastAsia" w:hAnsiTheme="minorEastAsia" w:eastAsiaTheme="minorEastAsia"/>
              </w:rPr>
            </w:pPr>
          </w:p>
        </w:tc>
        <w:tc>
          <w:tcPr>
            <w:tcW w:w="1326" w:type="dxa"/>
            <w:tcBorders>
              <w:right w:val="double" w:color="auto" w:sz="4" w:space="0"/>
            </w:tcBorders>
            <w:vAlign w:val="center"/>
          </w:tcPr>
          <w:p>
            <w:pPr>
              <w:spacing w:line="360" w:lineRule="auto"/>
              <w:jc w:val="center"/>
              <w:rPr>
                <w:rFonts w:cs="仿宋" w:asciiTheme="minorEastAsia" w:hAnsiTheme="minorEastAsia" w:eastAsia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left w:val="double" w:color="auto" w:sz="4" w:space="0"/>
            </w:tcBorders>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3</w:t>
            </w:r>
          </w:p>
        </w:tc>
        <w:tc>
          <w:tcPr>
            <w:tcW w:w="851" w:type="dxa"/>
            <w:vMerge w:val="continue"/>
            <w:vAlign w:val="center"/>
          </w:tcPr>
          <w:p>
            <w:pPr>
              <w:spacing w:line="360" w:lineRule="auto"/>
              <w:jc w:val="center"/>
              <w:rPr>
                <w:rFonts w:cs="仿宋" w:asciiTheme="minorEastAsia" w:hAnsiTheme="minorEastAsia" w:eastAsiaTheme="minorEastAsia"/>
              </w:rPr>
            </w:pPr>
          </w:p>
        </w:tc>
        <w:tc>
          <w:tcPr>
            <w:tcW w:w="921" w:type="dxa"/>
            <w:vAlign w:val="center"/>
          </w:tcPr>
          <w:p>
            <w:pPr>
              <w:spacing w:line="360" w:lineRule="auto"/>
              <w:jc w:val="center"/>
              <w:rPr>
                <w:rFonts w:cs="仿宋" w:asciiTheme="minorEastAsia" w:hAnsiTheme="minorEastAsia" w:eastAsiaTheme="minorEastAsia"/>
              </w:rPr>
            </w:pPr>
          </w:p>
        </w:tc>
        <w:tc>
          <w:tcPr>
            <w:tcW w:w="922" w:type="dxa"/>
            <w:vAlign w:val="center"/>
          </w:tcPr>
          <w:p>
            <w:pPr>
              <w:spacing w:line="360" w:lineRule="auto"/>
              <w:jc w:val="center"/>
              <w:rPr>
                <w:rFonts w:cs="仿宋" w:asciiTheme="minorEastAsia" w:hAnsiTheme="minorEastAsia" w:eastAsiaTheme="minorEastAsia"/>
              </w:rPr>
            </w:pPr>
          </w:p>
        </w:tc>
        <w:tc>
          <w:tcPr>
            <w:tcW w:w="1417" w:type="dxa"/>
            <w:vAlign w:val="center"/>
          </w:tcPr>
          <w:p>
            <w:pPr>
              <w:spacing w:line="360" w:lineRule="auto"/>
              <w:jc w:val="center"/>
              <w:rPr>
                <w:rFonts w:cs="仿宋" w:asciiTheme="minorEastAsia" w:hAnsiTheme="minorEastAsia" w:eastAsiaTheme="minorEastAsia"/>
              </w:rPr>
            </w:pPr>
          </w:p>
        </w:tc>
        <w:tc>
          <w:tcPr>
            <w:tcW w:w="1276" w:type="dxa"/>
            <w:vAlign w:val="center"/>
          </w:tcPr>
          <w:p>
            <w:pPr>
              <w:spacing w:line="360" w:lineRule="auto"/>
              <w:jc w:val="center"/>
              <w:rPr>
                <w:rFonts w:cs="仿宋" w:asciiTheme="minorEastAsia" w:hAnsiTheme="minorEastAsia" w:eastAsiaTheme="minorEastAsia"/>
              </w:rPr>
            </w:pPr>
          </w:p>
        </w:tc>
        <w:tc>
          <w:tcPr>
            <w:tcW w:w="1134" w:type="dxa"/>
            <w:vAlign w:val="center"/>
          </w:tcPr>
          <w:p>
            <w:pPr>
              <w:spacing w:line="360" w:lineRule="auto"/>
              <w:jc w:val="center"/>
              <w:rPr>
                <w:rFonts w:cs="仿宋" w:asciiTheme="minorEastAsia" w:hAnsiTheme="minorEastAsia" w:eastAsiaTheme="minorEastAsia"/>
              </w:rPr>
            </w:pPr>
          </w:p>
        </w:tc>
        <w:tc>
          <w:tcPr>
            <w:tcW w:w="1326" w:type="dxa"/>
            <w:tcBorders>
              <w:right w:val="double" w:color="auto" w:sz="4" w:space="0"/>
            </w:tcBorders>
            <w:vAlign w:val="center"/>
          </w:tcPr>
          <w:p>
            <w:pPr>
              <w:spacing w:line="360" w:lineRule="auto"/>
              <w:jc w:val="center"/>
              <w:rPr>
                <w:rFonts w:cs="仿宋" w:asciiTheme="minorEastAsia" w:hAnsiTheme="minorEastAsia" w:eastAsia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left w:val="double" w:color="auto" w:sz="4" w:space="0"/>
            </w:tcBorders>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4</w:t>
            </w:r>
          </w:p>
        </w:tc>
        <w:tc>
          <w:tcPr>
            <w:tcW w:w="851" w:type="dxa"/>
            <w:vMerge w:val="continue"/>
            <w:vAlign w:val="center"/>
          </w:tcPr>
          <w:p>
            <w:pPr>
              <w:spacing w:line="360" w:lineRule="auto"/>
              <w:jc w:val="center"/>
              <w:rPr>
                <w:rFonts w:cs="仿宋" w:asciiTheme="minorEastAsia" w:hAnsiTheme="minorEastAsia" w:eastAsiaTheme="minorEastAsia"/>
              </w:rPr>
            </w:pPr>
          </w:p>
        </w:tc>
        <w:tc>
          <w:tcPr>
            <w:tcW w:w="921" w:type="dxa"/>
            <w:vAlign w:val="center"/>
          </w:tcPr>
          <w:p>
            <w:pPr>
              <w:spacing w:line="360" w:lineRule="auto"/>
              <w:jc w:val="center"/>
              <w:rPr>
                <w:rFonts w:cs="仿宋" w:asciiTheme="minorEastAsia" w:hAnsiTheme="minorEastAsia" w:eastAsiaTheme="minorEastAsia"/>
              </w:rPr>
            </w:pPr>
          </w:p>
        </w:tc>
        <w:tc>
          <w:tcPr>
            <w:tcW w:w="922" w:type="dxa"/>
            <w:vAlign w:val="center"/>
          </w:tcPr>
          <w:p>
            <w:pPr>
              <w:spacing w:line="360" w:lineRule="auto"/>
              <w:jc w:val="center"/>
              <w:rPr>
                <w:rFonts w:cs="仿宋" w:asciiTheme="minorEastAsia" w:hAnsiTheme="minorEastAsia" w:eastAsiaTheme="minorEastAsia"/>
              </w:rPr>
            </w:pPr>
          </w:p>
        </w:tc>
        <w:tc>
          <w:tcPr>
            <w:tcW w:w="1417" w:type="dxa"/>
            <w:vAlign w:val="center"/>
          </w:tcPr>
          <w:p>
            <w:pPr>
              <w:spacing w:line="360" w:lineRule="auto"/>
              <w:jc w:val="center"/>
              <w:rPr>
                <w:rFonts w:cs="仿宋" w:asciiTheme="minorEastAsia" w:hAnsiTheme="minorEastAsia" w:eastAsiaTheme="minorEastAsia"/>
              </w:rPr>
            </w:pPr>
          </w:p>
        </w:tc>
        <w:tc>
          <w:tcPr>
            <w:tcW w:w="1276" w:type="dxa"/>
            <w:vAlign w:val="center"/>
          </w:tcPr>
          <w:p>
            <w:pPr>
              <w:spacing w:line="360" w:lineRule="auto"/>
              <w:jc w:val="center"/>
              <w:rPr>
                <w:rFonts w:cs="仿宋" w:asciiTheme="minorEastAsia" w:hAnsiTheme="minorEastAsia" w:eastAsiaTheme="minorEastAsia"/>
              </w:rPr>
            </w:pPr>
          </w:p>
        </w:tc>
        <w:tc>
          <w:tcPr>
            <w:tcW w:w="1134" w:type="dxa"/>
            <w:vAlign w:val="center"/>
          </w:tcPr>
          <w:p>
            <w:pPr>
              <w:spacing w:line="360" w:lineRule="auto"/>
              <w:jc w:val="center"/>
              <w:rPr>
                <w:rFonts w:cs="仿宋" w:asciiTheme="minorEastAsia" w:hAnsiTheme="minorEastAsia" w:eastAsiaTheme="minorEastAsia"/>
              </w:rPr>
            </w:pPr>
          </w:p>
        </w:tc>
        <w:tc>
          <w:tcPr>
            <w:tcW w:w="1326" w:type="dxa"/>
            <w:tcBorders>
              <w:right w:val="double" w:color="auto" w:sz="4" w:space="0"/>
            </w:tcBorders>
            <w:vAlign w:val="center"/>
          </w:tcPr>
          <w:p>
            <w:pPr>
              <w:spacing w:line="360" w:lineRule="auto"/>
              <w:jc w:val="center"/>
              <w:rPr>
                <w:rFonts w:cs="仿宋" w:asciiTheme="minorEastAsia" w:hAnsiTheme="minorEastAsia" w:eastAsia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left w:val="double" w:color="auto" w:sz="4" w:space="0"/>
              <w:bottom w:val="double" w:color="auto" w:sz="4" w:space="0"/>
            </w:tcBorders>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5</w:t>
            </w:r>
          </w:p>
        </w:tc>
        <w:tc>
          <w:tcPr>
            <w:tcW w:w="851" w:type="dxa"/>
            <w:vMerge w:val="continue"/>
            <w:tcBorders>
              <w:bottom w:val="double" w:color="auto" w:sz="4" w:space="0"/>
            </w:tcBorders>
            <w:vAlign w:val="center"/>
          </w:tcPr>
          <w:p>
            <w:pPr>
              <w:spacing w:line="360" w:lineRule="auto"/>
              <w:jc w:val="center"/>
              <w:rPr>
                <w:rFonts w:cs="仿宋" w:asciiTheme="minorEastAsia" w:hAnsiTheme="minorEastAsia" w:eastAsiaTheme="minorEastAsia"/>
              </w:rPr>
            </w:pPr>
          </w:p>
        </w:tc>
        <w:tc>
          <w:tcPr>
            <w:tcW w:w="921" w:type="dxa"/>
            <w:tcBorders>
              <w:bottom w:val="double" w:color="auto" w:sz="4" w:space="0"/>
            </w:tcBorders>
            <w:vAlign w:val="center"/>
          </w:tcPr>
          <w:p>
            <w:pPr>
              <w:spacing w:line="360" w:lineRule="auto"/>
              <w:jc w:val="center"/>
              <w:rPr>
                <w:rFonts w:cs="仿宋" w:asciiTheme="minorEastAsia" w:hAnsiTheme="minorEastAsia" w:eastAsiaTheme="minorEastAsia"/>
              </w:rPr>
            </w:pPr>
          </w:p>
        </w:tc>
        <w:tc>
          <w:tcPr>
            <w:tcW w:w="922" w:type="dxa"/>
            <w:tcBorders>
              <w:bottom w:val="double" w:color="auto" w:sz="4" w:space="0"/>
            </w:tcBorders>
            <w:vAlign w:val="center"/>
          </w:tcPr>
          <w:p>
            <w:pPr>
              <w:spacing w:line="360" w:lineRule="auto"/>
              <w:jc w:val="center"/>
              <w:rPr>
                <w:rFonts w:cs="仿宋" w:asciiTheme="minorEastAsia" w:hAnsiTheme="minorEastAsia" w:eastAsiaTheme="minorEastAsia"/>
              </w:rPr>
            </w:pPr>
          </w:p>
        </w:tc>
        <w:tc>
          <w:tcPr>
            <w:tcW w:w="1417" w:type="dxa"/>
            <w:tcBorders>
              <w:bottom w:val="double" w:color="auto" w:sz="4" w:space="0"/>
            </w:tcBorders>
            <w:vAlign w:val="center"/>
          </w:tcPr>
          <w:p>
            <w:pPr>
              <w:spacing w:line="360" w:lineRule="auto"/>
              <w:jc w:val="center"/>
              <w:rPr>
                <w:rFonts w:cs="仿宋" w:asciiTheme="minorEastAsia" w:hAnsiTheme="minorEastAsia" w:eastAsiaTheme="minorEastAsia"/>
              </w:rPr>
            </w:pPr>
          </w:p>
        </w:tc>
        <w:tc>
          <w:tcPr>
            <w:tcW w:w="1276" w:type="dxa"/>
            <w:tcBorders>
              <w:bottom w:val="double" w:color="auto" w:sz="4" w:space="0"/>
            </w:tcBorders>
            <w:vAlign w:val="center"/>
          </w:tcPr>
          <w:p>
            <w:pPr>
              <w:spacing w:line="360" w:lineRule="auto"/>
              <w:jc w:val="center"/>
              <w:rPr>
                <w:rFonts w:cs="仿宋" w:asciiTheme="minorEastAsia" w:hAnsiTheme="minorEastAsia" w:eastAsiaTheme="minorEastAsia"/>
              </w:rPr>
            </w:pPr>
          </w:p>
        </w:tc>
        <w:tc>
          <w:tcPr>
            <w:tcW w:w="1134" w:type="dxa"/>
            <w:tcBorders>
              <w:bottom w:val="double" w:color="auto" w:sz="4" w:space="0"/>
            </w:tcBorders>
            <w:vAlign w:val="center"/>
          </w:tcPr>
          <w:p>
            <w:pPr>
              <w:spacing w:line="360" w:lineRule="auto"/>
              <w:jc w:val="center"/>
              <w:rPr>
                <w:rFonts w:cs="仿宋" w:asciiTheme="minorEastAsia" w:hAnsiTheme="minorEastAsia" w:eastAsiaTheme="minorEastAsia"/>
              </w:rPr>
            </w:pPr>
          </w:p>
        </w:tc>
        <w:tc>
          <w:tcPr>
            <w:tcW w:w="1326" w:type="dxa"/>
            <w:tcBorders>
              <w:bottom w:val="double" w:color="auto" w:sz="4" w:space="0"/>
              <w:right w:val="double" w:color="auto" w:sz="4" w:space="0"/>
            </w:tcBorders>
            <w:vAlign w:val="center"/>
          </w:tcPr>
          <w:p>
            <w:pPr>
              <w:spacing w:line="360" w:lineRule="auto"/>
              <w:jc w:val="center"/>
              <w:rPr>
                <w:rFonts w:cs="仿宋" w:asciiTheme="minorEastAsia" w:hAnsiTheme="minorEastAsia" w:eastAsiaTheme="minorEastAsia"/>
              </w:rPr>
            </w:pPr>
          </w:p>
        </w:tc>
      </w:tr>
    </w:tbl>
    <w:p>
      <w:pPr>
        <w:jc w:val="center"/>
        <w:rPr>
          <w:rFonts w:cs="仿宋" w:asciiTheme="minorEastAsia" w:hAnsiTheme="minorEastAsia" w:eastAsiaTheme="minorEastAsia"/>
          <w:b/>
          <w:sz w:val="32"/>
          <w:szCs w:val="32"/>
        </w:rPr>
      </w:pP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投标供应商：（公章）</w:t>
      </w: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法定代表人或授权代表：（签章）</w:t>
      </w:r>
    </w:p>
    <w:p>
      <w:pPr>
        <w:spacing w:line="360" w:lineRule="auto"/>
        <w:ind w:firstLine="630"/>
        <w:rPr>
          <w:rFonts w:cs="仿宋" w:asciiTheme="minorEastAsia" w:hAnsiTheme="minorEastAsia" w:eastAsiaTheme="minorEastAsia"/>
        </w:rPr>
      </w:pPr>
    </w:p>
    <w:p>
      <w:pPr>
        <w:jc w:val="right"/>
        <w:rPr>
          <w:rFonts w:cs="仿宋" w:asciiTheme="minorEastAsia" w:hAnsiTheme="minorEastAsia" w:eastAsiaTheme="minorEastAsia"/>
        </w:rPr>
      </w:pP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 xml:space="preserve">月 </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pPr>
        <w:autoSpaceDE w:val="0"/>
        <w:autoSpaceDN w:val="0"/>
        <w:adjustRightInd w:val="0"/>
        <w:spacing w:line="360" w:lineRule="auto"/>
        <w:rPr>
          <w:rFonts w:cs="仿宋" w:asciiTheme="minorEastAsia" w:hAnsiTheme="minorEastAsia" w:eastAsiaTheme="minorEastAsia"/>
          <w:b/>
          <w:color w:val="FF0000"/>
          <w:sz w:val="22"/>
        </w:rPr>
      </w:pPr>
    </w:p>
    <w:p>
      <w:pPr>
        <w:autoSpaceDE w:val="0"/>
        <w:autoSpaceDN w:val="0"/>
        <w:adjustRightInd w:val="0"/>
        <w:spacing w:line="360" w:lineRule="auto"/>
        <w:rPr>
          <w:rFonts w:cs="仿宋" w:asciiTheme="minorEastAsia" w:hAnsiTheme="minorEastAsia" w:eastAsiaTheme="minorEastAsia"/>
          <w:b/>
          <w:color w:val="FF0000"/>
        </w:rPr>
      </w:pPr>
      <w:r>
        <w:rPr>
          <w:rFonts w:hint="eastAsia" w:cs="仿宋" w:asciiTheme="minorEastAsia" w:hAnsiTheme="minorEastAsia" w:eastAsiaTheme="minorEastAsia"/>
          <w:b/>
          <w:color w:val="FF0000"/>
          <w:sz w:val="22"/>
        </w:rPr>
        <w:t>注：</w:t>
      </w:r>
      <w:r>
        <w:rPr>
          <w:rFonts w:hint="eastAsia" w:cs="仿宋" w:asciiTheme="minorEastAsia" w:hAnsiTheme="minorEastAsia" w:eastAsiaTheme="minorEastAsia"/>
          <w:b/>
          <w:color w:val="FF0000"/>
        </w:rPr>
        <w:t xml:space="preserve"> </w:t>
      </w:r>
    </w:p>
    <w:p>
      <w:pPr>
        <w:tabs>
          <w:tab w:val="left" w:pos="170"/>
        </w:tabs>
        <w:autoSpaceDE w:val="0"/>
        <w:autoSpaceDN w:val="0"/>
        <w:adjustRightInd w:val="0"/>
        <w:spacing w:line="360" w:lineRule="auto"/>
        <w:ind w:firstLine="210" w:firstLineChars="100"/>
        <w:rPr>
          <w:rFonts w:cs="仿宋" w:asciiTheme="minorEastAsia" w:hAnsiTheme="minorEastAsia" w:eastAsiaTheme="minorEastAsia"/>
        </w:rPr>
      </w:pPr>
      <w:r>
        <w:rPr>
          <w:rFonts w:hint="eastAsia" w:cs="仿宋" w:asciiTheme="minorEastAsia" w:hAnsiTheme="minorEastAsia" w:eastAsiaTheme="minorEastAsia"/>
        </w:rPr>
        <w:t>1、填写时，如本表格不适合投标单位的实际情况，可根据本表格格式自行划表填写。</w:t>
      </w:r>
    </w:p>
    <w:p>
      <w:pPr>
        <w:tabs>
          <w:tab w:val="left" w:pos="170"/>
        </w:tabs>
        <w:autoSpaceDE w:val="0"/>
        <w:autoSpaceDN w:val="0"/>
        <w:adjustRightInd w:val="0"/>
        <w:spacing w:line="360" w:lineRule="auto"/>
        <w:ind w:firstLine="210" w:firstLineChars="100"/>
        <w:rPr>
          <w:rFonts w:cs="仿宋" w:asciiTheme="minorEastAsia" w:hAnsiTheme="minorEastAsia" w:eastAsiaTheme="minorEastAsia"/>
        </w:rPr>
      </w:pPr>
      <w:r>
        <w:rPr>
          <w:rFonts w:hint="eastAsia" w:cs="仿宋" w:asciiTheme="minorEastAsia" w:hAnsiTheme="minorEastAsia" w:eastAsiaTheme="minorEastAsia"/>
        </w:rPr>
        <w:t>2、有关人员简历及身份证、资格证书及其它证明材料（复印件）需附在本表之后。</w:t>
      </w:r>
    </w:p>
    <w:p>
      <w:pPr>
        <w:tabs>
          <w:tab w:val="left" w:pos="170"/>
        </w:tabs>
        <w:autoSpaceDE w:val="0"/>
        <w:autoSpaceDN w:val="0"/>
        <w:adjustRightInd w:val="0"/>
        <w:spacing w:line="360" w:lineRule="auto"/>
        <w:ind w:firstLine="210" w:firstLineChars="100"/>
        <w:rPr>
          <w:rFonts w:cs="仿宋" w:asciiTheme="minorEastAsia" w:hAnsiTheme="minorEastAsia" w:eastAsiaTheme="minorEastAsia"/>
        </w:rPr>
      </w:pPr>
      <w:r>
        <w:rPr>
          <w:rFonts w:hint="eastAsia" w:cs="仿宋" w:asciiTheme="minorEastAsia" w:hAnsiTheme="minorEastAsia" w:eastAsiaTheme="minorEastAsia"/>
        </w:rPr>
        <w:t>3、本表格所要求填写的人员是指投标单位将安排在此项目的具体人员。</w:t>
      </w:r>
    </w:p>
    <w:p>
      <w:pPr>
        <w:tabs>
          <w:tab w:val="left" w:pos="170"/>
        </w:tabs>
        <w:autoSpaceDE w:val="0"/>
        <w:autoSpaceDN w:val="0"/>
        <w:adjustRightInd w:val="0"/>
        <w:spacing w:line="360" w:lineRule="auto"/>
        <w:ind w:firstLine="210" w:firstLineChars="100"/>
        <w:rPr>
          <w:rFonts w:cs="仿宋" w:asciiTheme="minorEastAsia" w:hAnsiTheme="minorEastAsia" w:eastAsiaTheme="minorEastAsia"/>
        </w:rPr>
      </w:pPr>
    </w:p>
    <w:p>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pPr>
        <w:tabs>
          <w:tab w:val="left" w:pos="170"/>
        </w:tabs>
        <w:autoSpaceDE w:val="0"/>
        <w:autoSpaceDN w:val="0"/>
        <w:adjustRightInd w:val="0"/>
        <w:spacing w:line="360" w:lineRule="auto"/>
        <w:ind w:firstLine="321" w:firstLineChars="100"/>
        <w:jc w:val="center"/>
        <w:rPr>
          <w:rFonts w:cs="仿宋" w:asciiTheme="minorEastAsia" w:hAnsiTheme="minorEastAsia" w:eastAsiaTheme="minorEastAsia"/>
        </w:rPr>
      </w:pPr>
      <w:r>
        <w:rPr>
          <w:rFonts w:hint="eastAsia" w:cs="仿宋" w:asciiTheme="minorEastAsia" w:hAnsiTheme="minorEastAsia" w:eastAsiaTheme="minorEastAsia"/>
          <w:b/>
          <w:sz w:val="32"/>
          <w:szCs w:val="32"/>
        </w:rPr>
        <w:t xml:space="preserve">格式7  </w:t>
      </w:r>
      <w:r>
        <w:rPr>
          <w:rFonts w:hint="eastAsia" w:cs="仿宋" w:asciiTheme="minorEastAsia" w:hAnsiTheme="minorEastAsia" w:eastAsiaTheme="minorEastAsia"/>
          <w:b/>
          <w:bCs/>
          <w:sz w:val="32"/>
          <w:szCs w:val="32"/>
        </w:rPr>
        <w:t>差异表</w:t>
      </w:r>
    </w:p>
    <w:p>
      <w:pPr>
        <w:rPr>
          <w:rFonts w:cs="仿宋" w:asciiTheme="minorEastAsia" w:hAnsiTheme="minorEastAsia" w:eastAsiaTheme="minorEastAsia"/>
        </w:rPr>
      </w:pPr>
    </w:p>
    <w:p>
      <w:pPr>
        <w:spacing w:line="360" w:lineRule="auto"/>
        <w:jc w:val="left"/>
        <w:rPr>
          <w:rFonts w:cs="仿宋" w:asciiTheme="minorEastAsia" w:hAnsiTheme="minorEastAsia" w:eastAsiaTheme="minorEastAsia"/>
        </w:rPr>
      </w:pPr>
      <w:r>
        <w:rPr>
          <w:rFonts w:hint="eastAsia" w:cs="仿宋" w:asciiTheme="minorEastAsia" w:hAnsiTheme="minorEastAsia" w:eastAsiaTheme="minorEastAsia"/>
        </w:rPr>
        <w:t>项目名称：</w:t>
      </w:r>
      <w:r>
        <w:rPr>
          <w:rFonts w:hint="eastAsia" w:cs="仿宋" w:asciiTheme="minorEastAsia" w:hAnsiTheme="minorEastAsia" w:eastAsiaTheme="minorEastAsia"/>
          <w:u w:val="single"/>
        </w:rPr>
        <w:t xml:space="preserve">                </w:t>
      </w:r>
    </w:p>
    <w:p>
      <w:pPr>
        <w:spacing w:line="360" w:lineRule="auto"/>
        <w:rPr>
          <w:rFonts w:cs="仿宋" w:asciiTheme="minorEastAsia" w:hAnsiTheme="minorEastAsia" w:eastAsiaTheme="minorEastAsia"/>
          <w:u w:val="single"/>
        </w:rPr>
      </w:pPr>
      <w:r>
        <w:rPr>
          <w:rFonts w:hint="eastAsia" w:cs="仿宋" w:asciiTheme="minorEastAsia" w:hAnsiTheme="minorEastAsia" w:eastAsiaTheme="minorEastAsia"/>
        </w:rPr>
        <w:t>项目编号：</w:t>
      </w:r>
      <w:r>
        <w:rPr>
          <w:rFonts w:hint="eastAsia" w:cs="仿宋" w:asciiTheme="minorEastAsia" w:hAnsiTheme="minorEastAsia" w:eastAsiaTheme="minorEastAsia"/>
          <w:u w:val="single"/>
        </w:rPr>
        <w:t xml:space="preserve">                </w:t>
      </w:r>
    </w:p>
    <w:tbl>
      <w:tblPr>
        <w:tblStyle w:val="19"/>
        <w:tblW w:w="0" w:type="auto"/>
        <w:tblInd w:w="0" w:type="dxa"/>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2835"/>
        <w:gridCol w:w="2126"/>
        <w:gridCol w:w="2602"/>
      </w:tblGrid>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shd w:val="clear" w:color="auto" w:fill="C6D9F0" w:themeFill="text2" w:themeFillTint="33"/>
            <w:vAlign w:val="center"/>
          </w:tcPr>
          <w:p>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序号</w:t>
            </w:r>
          </w:p>
        </w:tc>
        <w:tc>
          <w:tcPr>
            <w:tcW w:w="2835" w:type="dxa"/>
            <w:shd w:val="clear" w:color="auto" w:fill="C6D9F0" w:themeFill="text2" w:themeFillTint="33"/>
            <w:vAlign w:val="center"/>
          </w:tcPr>
          <w:p>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征集文件条款</w:t>
            </w:r>
          </w:p>
        </w:tc>
        <w:tc>
          <w:tcPr>
            <w:tcW w:w="2126" w:type="dxa"/>
            <w:shd w:val="clear" w:color="auto" w:fill="C6D9F0" w:themeFill="text2" w:themeFillTint="33"/>
            <w:vAlign w:val="center"/>
          </w:tcPr>
          <w:p>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投标文件投标情况</w:t>
            </w:r>
          </w:p>
        </w:tc>
        <w:tc>
          <w:tcPr>
            <w:tcW w:w="2602" w:type="dxa"/>
            <w:shd w:val="clear" w:color="auto" w:fill="C6D9F0" w:themeFill="text2" w:themeFillTint="33"/>
            <w:vAlign w:val="center"/>
          </w:tcPr>
          <w:p>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说明</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1</w:t>
            </w:r>
          </w:p>
        </w:tc>
        <w:tc>
          <w:tcPr>
            <w:tcW w:w="2835" w:type="dxa"/>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 xml:space="preserve"> “第二部分采购项目需求”全部采购项目需求条款</w:t>
            </w:r>
          </w:p>
        </w:tc>
        <w:tc>
          <w:tcPr>
            <w:tcW w:w="2126" w:type="dxa"/>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全部满足</w:t>
            </w:r>
          </w:p>
        </w:tc>
        <w:tc>
          <w:tcPr>
            <w:tcW w:w="2602" w:type="dxa"/>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如采购需求要求提供证明材料的，请附在本表后面</w:t>
            </w:r>
          </w:p>
        </w:tc>
      </w:tr>
    </w:tbl>
    <w:p>
      <w:pPr>
        <w:rPr>
          <w:rFonts w:cs="仿宋" w:asciiTheme="minorEastAsia" w:hAnsiTheme="minorEastAsia" w:eastAsiaTheme="minorEastAsia"/>
          <w:bCs/>
        </w:rPr>
      </w:pPr>
      <w:r>
        <w:rPr>
          <w:rFonts w:hint="eastAsia" w:cs="仿宋" w:asciiTheme="minorEastAsia" w:hAnsiTheme="minorEastAsia" w:eastAsiaTheme="minorEastAsia"/>
          <w:b/>
          <w:bCs/>
          <w:color w:val="FF0000"/>
        </w:rPr>
        <w:t>注：</w:t>
      </w:r>
      <w:r>
        <w:rPr>
          <w:rFonts w:hint="eastAsia" w:cs="仿宋" w:asciiTheme="minorEastAsia" w:hAnsiTheme="minorEastAsia" w:eastAsiaTheme="minorEastAsia"/>
          <w:bCs/>
        </w:rPr>
        <w:t>投标文件的技术与商务部分与征集文件有偏差（甚至是细微偏差），都需在本表中列出。</w:t>
      </w:r>
    </w:p>
    <w:p>
      <w:pPr>
        <w:rPr>
          <w:rFonts w:cs="仿宋" w:asciiTheme="minorEastAsia" w:hAnsiTheme="minorEastAsia" w:eastAsiaTheme="minorEastAsia"/>
          <w:bCs/>
        </w:rPr>
      </w:pPr>
    </w:p>
    <w:p>
      <w:pPr>
        <w:rPr>
          <w:rFonts w:cs="仿宋" w:asciiTheme="minorEastAsia" w:hAnsiTheme="minorEastAsia" w:eastAsiaTheme="minorEastAsia"/>
          <w:bCs/>
        </w:rPr>
      </w:pP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投标供应商：（公章）</w:t>
      </w:r>
    </w:p>
    <w:p>
      <w:pPr>
        <w:pStyle w:val="17"/>
        <w:rPr>
          <w:rFonts w:asciiTheme="minorEastAsia" w:hAnsiTheme="minorEastAsia" w:eastAsiaTheme="minorEastAsia"/>
        </w:rPr>
      </w:pP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法定代表人或授权代表：（签章）</w:t>
      </w:r>
    </w:p>
    <w:p>
      <w:pPr>
        <w:spacing w:line="360" w:lineRule="auto"/>
        <w:ind w:firstLine="630"/>
        <w:rPr>
          <w:rFonts w:cs="仿宋" w:asciiTheme="minorEastAsia" w:hAnsiTheme="minorEastAsia" w:eastAsiaTheme="minorEastAsia"/>
        </w:rPr>
      </w:pPr>
    </w:p>
    <w:p>
      <w:pPr>
        <w:jc w:val="right"/>
        <w:rPr>
          <w:rFonts w:cs="仿宋" w:asciiTheme="minorEastAsia" w:hAnsiTheme="minorEastAsia" w:eastAsiaTheme="minorEastAsia"/>
        </w:rPr>
      </w:pP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 xml:space="preserve">月 </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pPr>
        <w:rPr>
          <w:rFonts w:cs="仿宋" w:asciiTheme="minorEastAsia" w:hAnsiTheme="minorEastAsia" w:eastAsiaTheme="minorEastAsia"/>
        </w:rPr>
      </w:pPr>
    </w:p>
    <w:p>
      <w:pPr>
        <w:widowControl/>
        <w:jc w:val="left"/>
        <w:rPr>
          <w:rFonts w:cs="仿宋" w:asciiTheme="minorEastAsia" w:hAnsiTheme="minorEastAsia" w:eastAsiaTheme="minorEastAsia"/>
        </w:rPr>
      </w:pPr>
    </w:p>
    <w:p>
      <w:pPr>
        <w:pStyle w:val="17"/>
        <w:rPr>
          <w:rFonts w:cs="仿宋" w:asciiTheme="minorEastAsia" w:hAnsiTheme="minorEastAsia" w:eastAsiaTheme="minorEastAsia"/>
        </w:rPr>
      </w:pPr>
    </w:p>
    <w:p>
      <w:pPr>
        <w:pStyle w:val="17"/>
        <w:rPr>
          <w:rFonts w:cs="仿宋" w:asciiTheme="minorEastAsia" w:hAnsiTheme="minorEastAsia" w:eastAsiaTheme="minorEastAsia"/>
        </w:rPr>
      </w:pPr>
    </w:p>
    <w:p>
      <w:pPr>
        <w:pStyle w:val="17"/>
        <w:rPr>
          <w:rFonts w:cs="仿宋" w:asciiTheme="minorEastAsia" w:hAnsiTheme="minorEastAsia" w:eastAsiaTheme="minorEastAsia"/>
        </w:rPr>
      </w:pPr>
    </w:p>
    <w:p>
      <w:pPr>
        <w:rPr>
          <w:rFonts w:cs="仿宋" w:asciiTheme="minorEastAsia" w:hAnsiTheme="minorEastAsia" w:eastAsiaTheme="minorEastAsia"/>
          <w:b/>
          <w:sz w:val="28"/>
          <w:szCs w:val="32"/>
        </w:rPr>
      </w:pPr>
      <w:r>
        <w:rPr>
          <w:rFonts w:hint="eastAsia" w:cs="仿宋" w:asciiTheme="minorEastAsia" w:hAnsiTheme="minorEastAsia" w:eastAsiaTheme="minorEastAsia"/>
          <w:b/>
          <w:sz w:val="28"/>
          <w:szCs w:val="32"/>
        </w:rPr>
        <w:br w:type="page"/>
      </w:r>
    </w:p>
    <w:p>
      <w:pPr>
        <w:jc w:val="center"/>
        <w:rPr>
          <w:rFonts w:cs="仿宋" w:asciiTheme="minorEastAsia" w:hAnsiTheme="minorEastAsia" w:eastAsiaTheme="minorEastAsia"/>
          <w:b/>
          <w:bCs/>
          <w:sz w:val="28"/>
          <w:szCs w:val="32"/>
        </w:rPr>
      </w:pPr>
      <w:r>
        <w:rPr>
          <w:rFonts w:hint="eastAsia" w:cs="仿宋" w:asciiTheme="minorEastAsia" w:hAnsiTheme="minorEastAsia" w:eastAsiaTheme="minorEastAsia"/>
          <w:b/>
          <w:sz w:val="28"/>
          <w:szCs w:val="32"/>
        </w:rPr>
        <w:t xml:space="preserve">格式8  </w:t>
      </w:r>
      <w:r>
        <w:rPr>
          <w:rFonts w:hint="eastAsia" w:cs="仿宋" w:asciiTheme="minorEastAsia" w:hAnsiTheme="minorEastAsia" w:eastAsiaTheme="minorEastAsia"/>
          <w:b/>
          <w:bCs/>
          <w:sz w:val="28"/>
          <w:szCs w:val="32"/>
        </w:rPr>
        <w:t>其他征集文件要求的资料或投标供应商认为需要补充的资料</w:t>
      </w:r>
    </w:p>
    <w:p>
      <w:pPr>
        <w:rPr>
          <w:rFonts w:cs="仿宋" w:asciiTheme="minorEastAsia" w:hAnsiTheme="minorEastAsia" w:eastAsiaTheme="minorEastAsia"/>
        </w:rPr>
      </w:pPr>
    </w:p>
    <w:p>
      <w:pPr>
        <w:ind w:firstLine="420" w:firstLineChars="200"/>
        <w:rPr>
          <w:rFonts w:cs="仿宋" w:asciiTheme="minorEastAsia" w:hAnsiTheme="minorEastAsia" w:eastAsiaTheme="minorEastAsia"/>
          <w:bCs/>
        </w:rPr>
      </w:pPr>
      <w:r>
        <w:rPr>
          <w:rFonts w:hint="eastAsia" w:cs="仿宋" w:asciiTheme="minorEastAsia" w:hAnsiTheme="minorEastAsia" w:eastAsiaTheme="minorEastAsia"/>
          <w:bCs/>
        </w:rPr>
        <w:t>投标供应商须按要求编制投标文件，提供的内容要详细、真实、可靠。若提供的资料不齐，将导致扣分；若严重缺项、漏项，其投标将被拒绝。</w:t>
      </w:r>
    </w:p>
    <w:p>
      <w:pPr>
        <w:rPr>
          <w:rFonts w:cs="仿宋" w:asciiTheme="minorEastAsia" w:hAnsiTheme="minorEastAsia" w:eastAsiaTheme="minorEastAsia"/>
          <w:bCs/>
        </w:rPr>
      </w:pPr>
    </w:p>
    <w:p>
      <w:pPr>
        <w:rPr>
          <w:rFonts w:cs="仿宋" w:asciiTheme="minorEastAsia" w:hAnsiTheme="minorEastAsia" w:eastAsiaTheme="minorEastAsia"/>
          <w:bCs/>
        </w:rPr>
      </w:pPr>
      <w:r>
        <w:rPr>
          <w:rFonts w:hint="eastAsia" w:cs="仿宋" w:asciiTheme="minorEastAsia" w:hAnsiTheme="minorEastAsia" w:eastAsiaTheme="minorEastAsia"/>
          <w:b/>
          <w:bCs/>
          <w:color w:val="FF0000"/>
        </w:rPr>
        <w:t>注：</w:t>
      </w:r>
      <w:r>
        <w:rPr>
          <w:rFonts w:hint="eastAsia" w:cs="仿宋" w:asciiTheme="minorEastAsia" w:hAnsiTheme="minorEastAsia" w:eastAsiaTheme="minorEastAsia"/>
          <w:bCs/>
        </w:rPr>
        <w:t>如需提供补充资料，本部分资料格式不做统一规定，由投标供应商自行设计。</w:t>
      </w:r>
    </w:p>
    <w:p>
      <w:pPr>
        <w:widowControl/>
        <w:jc w:val="left"/>
        <w:rPr>
          <w:rFonts w:cs="仿宋" w:asciiTheme="minorEastAsia" w:hAnsiTheme="minorEastAsia" w:eastAsiaTheme="minorEastAsia"/>
          <w:bCs/>
        </w:rPr>
      </w:pPr>
      <w:r>
        <w:rPr>
          <w:rFonts w:hint="eastAsia" w:cs="仿宋" w:asciiTheme="minorEastAsia" w:hAnsiTheme="minorEastAsia" w:eastAsiaTheme="minorEastAsia"/>
          <w:bCs/>
        </w:rPr>
        <w:br w:type="page"/>
      </w:r>
    </w:p>
    <w:p>
      <w:pPr>
        <w:widowControl/>
        <w:jc w:val="left"/>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adjustRightInd w:val="0"/>
        <w:snapToGrid w:val="0"/>
        <w:spacing w:line="300" w:lineRule="auto"/>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第四部分</w:t>
      </w:r>
    </w:p>
    <w:p>
      <w:pPr>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合同条款</w:t>
      </w:r>
    </w:p>
    <w:p>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pPr>
        <w:adjustRightInd w:val="0"/>
        <w:snapToGrid w:val="0"/>
        <w:spacing w:line="300" w:lineRule="auto"/>
        <w:ind w:left="2"/>
        <w:jc w:val="center"/>
        <w:rPr>
          <w:rFonts w:cs="仿宋" w:asciiTheme="minorEastAsia" w:hAnsiTheme="minorEastAsia" w:eastAsiaTheme="minorEastAsia"/>
          <w:b/>
          <w:snapToGrid w:val="0"/>
          <w:kern w:val="0"/>
          <w:sz w:val="32"/>
          <w:szCs w:val="32"/>
        </w:rPr>
      </w:pPr>
      <w:r>
        <w:rPr>
          <w:rFonts w:hint="eastAsia" w:cs="仿宋" w:asciiTheme="minorEastAsia" w:hAnsiTheme="minorEastAsia" w:eastAsiaTheme="minorEastAsia"/>
          <w:b/>
          <w:snapToGrid w:val="0"/>
          <w:kern w:val="0"/>
          <w:sz w:val="32"/>
          <w:szCs w:val="32"/>
        </w:rPr>
        <w:t>合同条款</w:t>
      </w:r>
    </w:p>
    <w:p>
      <w:pPr>
        <w:pStyle w:val="37"/>
        <w:widowControl w:val="0"/>
        <w:pBdr>
          <w:bottom w:val="none" w:color="auto" w:sz="0" w:space="0"/>
        </w:pBdr>
        <w:adjustRightInd w:val="0"/>
        <w:snapToGrid w:val="0"/>
        <w:spacing w:before="0" w:beforeAutospacing="0" w:after="0" w:afterAutospacing="0" w:line="360" w:lineRule="auto"/>
        <w:textAlignment w:val="auto"/>
        <w:rPr>
          <w:rFonts w:cs="仿宋" w:asciiTheme="minorEastAsia" w:hAnsiTheme="minorEastAsia" w:eastAsiaTheme="minorEastAsia"/>
          <w:b/>
          <w:bCs/>
          <w:snapToGrid w:val="0"/>
          <w:sz w:val="32"/>
          <w:szCs w:val="32"/>
        </w:rPr>
      </w:pPr>
      <w:r>
        <w:rPr>
          <w:rFonts w:hint="eastAsia" w:cs="仿宋" w:asciiTheme="minorEastAsia" w:hAnsiTheme="minorEastAsia" w:eastAsiaTheme="minorEastAsia"/>
          <w:b/>
          <w:bCs/>
          <w:snapToGrid w:val="0"/>
          <w:sz w:val="32"/>
          <w:szCs w:val="32"/>
        </w:rPr>
        <w:t>（仅供参考）</w:t>
      </w:r>
    </w:p>
    <w:p>
      <w:pPr>
        <w:spacing w:line="360" w:lineRule="auto"/>
        <w:ind w:firstLine="482" w:firstLineChars="200"/>
        <w:rPr>
          <w:rFonts w:ascii="Times New Roman" w:hAnsi="Times New Roman"/>
          <w:b/>
          <w:sz w:val="24"/>
          <w:szCs w:val="20"/>
        </w:rPr>
      </w:pPr>
      <w:r>
        <w:rPr>
          <w:rFonts w:hint="eastAsia" w:ascii="Times New Roman" w:hAnsi="Times New Roman"/>
          <w:b/>
          <w:sz w:val="24"/>
          <w:szCs w:val="20"/>
        </w:rPr>
        <w:t>重要说明：采购人在签订合同前有权依据征集文件要求和项目实际情况对以下合同内容进行删改或补充。</w:t>
      </w:r>
    </w:p>
    <w:p>
      <w:pPr>
        <w:spacing w:line="360" w:lineRule="auto"/>
        <w:ind w:firstLine="482" w:firstLineChars="200"/>
        <w:rPr>
          <w:rFonts w:ascii="Times New Roman" w:hAnsi="Times New Roman"/>
          <w:b/>
          <w:sz w:val="24"/>
          <w:szCs w:val="20"/>
        </w:rPr>
      </w:pPr>
    </w:p>
    <w:p>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pPr>
        <w:adjustRightInd w:val="0"/>
        <w:snapToGrid w:val="0"/>
        <w:spacing w:line="360" w:lineRule="auto"/>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采购项目（项目编号__________________）的中标结果，由_______________________单位为中标人。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pPr>
        <w:snapToGrid w:val="0"/>
        <w:spacing w:line="360" w:lineRule="auto"/>
        <w:ind w:firstLine="422" w:firstLineChars="200"/>
        <w:rPr>
          <w:rFonts w:ascii="宋体" w:hAnsi="宋体"/>
          <w:b/>
          <w:szCs w:val="21"/>
        </w:rPr>
      </w:pPr>
      <w:r>
        <w:rPr>
          <w:rFonts w:hint="eastAsia" w:ascii="宋体" w:hAnsi="宋体"/>
          <w:b/>
          <w:szCs w:val="21"/>
        </w:rPr>
        <w:t>一、服务内容</w:t>
      </w:r>
    </w:p>
    <w:p>
      <w:pPr>
        <w:spacing w:line="360" w:lineRule="auto"/>
        <w:ind w:firstLine="422" w:firstLineChars="201"/>
        <w:rPr>
          <w:rFonts w:ascii="宋体" w:hAnsi="宋体"/>
          <w:szCs w:val="21"/>
        </w:rPr>
      </w:pPr>
      <w:r>
        <w:rPr>
          <w:rFonts w:hint="eastAsia" w:ascii="宋体" w:hAnsi="宋体"/>
          <w:szCs w:val="21"/>
        </w:rPr>
        <w:t>______________________</w:t>
      </w:r>
    </w:p>
    <w:p>
      <w:pPr>
        <w:snapToGrid w:val="0"/>
        <w:spacing w:line="360" w:lineRule="auto"/>
        <w:ind w:firstLine="422" w:firstLineChars="200"/>
        <w:rPr>
          <w:rFonts w:ascii="宋体" w:hAnsi="宋体"/>
          <w:b/>
          <w:szCs w:val="21"/>
        </w:rPr>
      </w:pPr>
      <w:r>
        <w:rPr>
          <w:rFonts w:hint="eastAsia" w:ascii="宋体" w:hAnsi="宋体"/>
          <w:b/>
          <w:szCs w:val="21"/>
        </w:rPr>
        <w:t>二、合同金额</w:t>
      </w:r>
    </w:p>
    <w:p>
      <w:pPr>
        <w:snapToGrid w:val="0"/>
        <w:spacing w:line="360" w:lineRule="auto"/>
        <w:ind w:firstLine="420" w:firstLineChars="200"/>
        <w:rPr>
          <w:rFonts w:ascii="宋体" w:hAnsi="宋体"/>
          <w:szCs w:val="21"/>
        </w:rPr>
      </w:pPr>
      <w:r>
        <w:rPr>
          <w:rFonts w:hint="eastAsia" w:ascii="宋体" w:hAnsi="宋体"/>
          <w:szCs w:val="21"/>
        </w:rPr>
        <w:t>本合同金额为（大写）：____________________________________元（￥_______________元）人民币。</w:t>
      </w:r>
    </w:p>
    <w:p>
      <w:pPr>
        <w:snapToGrid w:val="0"/>
        <w:spacing w:line="360" w:lineRule="auto"/>
        <w:ind w:firstLine="422" w:firstLineChars="200"/>
        <w:rPr>
          <w:rFonts w:ascii="宋体" w:hAnsi="宋体"/>
          <w:b/>
          <w:szCs w:val="21"/>
        </w:rPr>
      </w:pPr>
      <w:r>
        <w:rPr>
          <w:rFonts w:hint="eastAsia" w:ascii="宋体" w:hAnsi="宋体"/>
          <w:b/>
          <w:szCs w:val="21"/>
        </w:rPr>
        <w:t>三、技术资料</w:t>
      </w:r>
    </w:p>
    <w:p>
      <w:pPr>
        <w:snapToGrid w:val="0"/>
        <w:spacing w:line="360" w:lineRule="auto"/>
        <w:ind w:firstLine="420" w:firstLineChars="200"/>
        <w:rPr>
          <w:rFonts w:ascii="宋体" w:hAnsi="宋体"/>
          <w:szCs w:val="21"/>
        </w:rPr>
      </w:pPr>
      <w:r>
        <w:rPr>
          <w:rFonts w:hint="eastAsia" w:ascii="宋体" w:hAnsi="宋体"/>
          <w:szCs w:val="21"/>
        </w:rPr>
        <w:t>1、中标人应按征集文件规定的时间向采购人提供有关技术资料。</w:t>
      </w:r>
    </w:p>
    <w:p>
      <w:pPr>
        <w:snapToGrid w:val="0"/>
        <w:spacing w:line="360" w:lineRule="auto"/>
        <w:ind w:firstLine="420" w:firstLineChars="200"/>
        <w:rPr>
          <w:rFonts w:ascii="宋体" w:hAnsi="宋体"/>
          <w:szCs w:val="21"/>
        </w:rPr>
      </w:pPr>
      <w:r>
        <w:rPr>
          <w:rFonts w:hint="eastAsia" w:ascii="宋体"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pPr>
        <w:snapToGrid w:val="0"/>
        <w:spacing w:line="360" w:lineRule="auto"/>
        <w:ind w:firstLine="420" w:firstLineChars="200"/>
        <w:rPr>
          <w:rFonts w:ascii="宋体" w:hAnsi="宋体"/>
          <w:szCs w:val="21"/>
        </w:rPr>
      </w:pPr>
      <w:r>
        <w:rPr>
          <w:rFonts w:hint="eastAsia" w:ascii="宋体" w:hAnsi="宋体"/>
          <w:szCs w:val="21"/>
        </w:rPr>
        <w:t>3、合同履行完毕，未经采购人的书面同意，中标人不得保存在履行合同过程中所获得或接触到的任何内部数据资料。</w:t>
      </w:r>
    </w:p>
    <w:p>
      <w:pPr>
        <w:snapToGrid w:val="0"/>
        <w:spacing w:line="360" w:lineRule="auto"/>
        <w:ind w:firstLine="422" w:firstLineChars="200"/>
        <w:rPr>
          <w:rFonts w:ascii="宋体" w:hAnsi="宋体"/>
          <w:b/>
          <w:szCs w:val="21"/>
        </w:rPr>
      </w:pPr>
      <w:r>
        <w:rPr>
          <w:rFonts w:hint="eastAsia" w:ascii="宋体" w:hAnsi="宋体"/>
          <w:b/>
          <w:szCs w:val="21"/>
        </w:rPr>
        <w:t>四、知识产权</w:t>
      </w:r>
    </w:p>
    <w:p>
      <w:pPr>
        <w:snapToGrid w:val="0"/>
        <w:spacing w:line="360" w:lineRule="auto"/>
        <w:ind w:firstLine="420" w:firstLineChars="200"/>
        <w:rPr>
          <w:rFonts w:ascii="宋体" w:hAnsi="宋体"/>
          <w:bCs/>
          <w:szCs w:val="21"/>
        </w:rPr>
      </w:pPr>
      <w:r>
        <w:rPr>
          <w:rFonts w:hint="eastAsia" w:ascii="宋体" w:hAnsi="宋体"/>
          <w:szCs w:val="21"/>
        </w:rPr>
        <w:t>中标人应保证提供服务过程中不会侵犯任何第三方的知识产权</w:t>
      </w:r>
      <w:r>
        <w:rPr>
          <w:rFonts w:hint="eastAsia" w:ascii="宋体" w:hAnsi="宋体"/>
          <w:bCs/>
          <w:szCs w:val="21"/>
        </w:rPr>
        <w:t>。</w:t>
      </w:r>
    </w:p>
    <w:p>
      <w:pPr>
        <w:snapToGrid w:val="0"/>
        <w:spacing w:line="360" w:lineRule="auto"/>
        <w:ind w:firstLine="422" w:firstLineChars="200"/>
        <w:rPr>
          <w:rFonts w:ascii="宋体" w:hAnsi="宋体"/>
          <w:b/>
          <w:szCs w:val="21"/>
        </w:rPr>
      </w:pPr>
      <w:r>
        <w:rPr>
          <w:rFonts w:hint="eastAsia" w:ascii="宋体" w:hAnsi="宋体"/>
          <w:b/>
          <w:szCs w:val="21"/>
        </w:rPr>
        <w:t>五、履约保证金</w:t>
      </w:r>
    </w:p>
    <w:p>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pPr>
        <w:snapToGrid w:val="0"/>
        <w:spacing w:line="360" w:lineRule="auto"/>
        <w:ind w:firstLine="420" w:firstLineChars="200"/>
        <w:rPr>
          <w:rFonts w:ascii="宋体" w:hAnsi="宋体"/>
          <w:szCs w:val="21"/>
        </w:rPr>
      </w:pPr>
      <w:r>
        <w:rPr>
          <w:rFonts w:hint="eastAsia" w:ascii="宋体" w:hAnsi="宋体"/>
          <w:szCs w:val="21"/>
        </w:rPr>
        <w:t>1、_______________________</w:t>
      </w:r>
    </w:p>
    <w:p>
      <w:pPr>
        <w:snapToGrid w:val="0"/>
        <w:spacing w:line="360" w:lineRule="auto"/>
        <w:ind w:firstLine="420" w:firstLineChars="200"/>
        <w:rPr>
          <w:rFonts w:ascii="宋体" w:hAnsi="宋体"/>
          <w:szCs w:val="21"/>
        </w:rPr>
      </w:pPr>
      <w:r>
        <w:rPr>
          <w:rFonts w:hint="eastAsia" w:ascii="宋体" w:hAnsi="宋体"/>
          <w:szCs w:val="21"/>
        </w:rPr>
        <w:t>2、_______________________</w:t>
      </w:r>
    </w:p>
    <w:p>
      <w:pPr>
        <w:snapToGrid w:val="0"/>
        <w:spacing w:line="360" w:lineRule="auto"/>
        <w:ind w:firstLine="420" w:firstLineChars="200"/>
        <w:rPr>
          <w:rFonts w:ascii="宋体" w:hAnsi="宋体"/>
          <w:szCs w:val="21"/>
        </w:rPr>
      </w:pPr>
      <w:r>
        <w:rPr>
          <w:rFonts w:hint="eastAsia" w:ascii="宋体" w:hAnsi="宋体"/>
          <w:szCs w:val="21"/>
        </w:rPr>
        <w:t>3、_______________________</w:t>
      </w:r>
    </w:p>
    <w:p>
      <w:pPr>
        <w:snapToGrid w:val="0"/>
        <w:spacing w:line="360" w:lineRule="auto"/>
        <w:ind w:firstLine="420" w:firstLineChars="200"/>
        <w:rPr>
          <w:rFonts w:ascii="宋体" w:hAnsi="宋体"/>
          <w:szCs w:val="21"/>
        </w:rPr>
      </w:pPr>
      <w:r>
        <w:rPr>
          <w:rFonts w:hint="eastAsia" w:ascii="宋体" w:hAnsi="宋体"/>
          <w:szCs w:val="21"/>
        </w:rPr>
        <w:t>4、_______________________</w:t>
      </w:r>
    </w:p>
    <w:p>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pPr>
        <w:snapToGrid w:val="0"/>
        <w:spacing w:line="360" w:lineRule="auto"/>
        <w:ind w:firstLine="420" w:firstLineChars="200"/>
        <w:rPr>
          <w:rFonts w:ascii="宋体" w:hAnsi="宋体"/>
          <w:szCs w:val="21"/>
        </w:rPr>
      </w:pPr>
      <w:r>
        <w:rPr>
          <w:rFonts w:hint="eastAsia" w:ascii="宋体" w:hAnsi="宋体"/>
          <w:szCs w:val="21"/>
        </w:rPr>
        <w:t>1、_______________________</w:t>
      </w:r>
    </w:p>
    <w:p>
      <w:pPr>
        <w:snapToGrid w:val="0"/>
        <w:spacing w:line="360" w:lineRule="auto"/>
        <w:ind w:firstLine="420" w:firstLineChars="200"/>
        <w:rPr>
          <w:rFonts w:ascii="宋体" w:hAnsi="宋体"/>
          <w:szCs w:val="21"/>
        </w:rPr>
      </w:pPr>
      <w:r>
        <w:rPr>
          <w:rFonts w:hint="eastAsia" w:ascii="宋体" w:hAnsi="宋体"/>
          <w:szCs w:val="21"/>
        </w:rPr>
        <w:t>2、_______________________</w:t>
      </w:r>
    </w:p>
    <w:p>
      <w:pPr>
        <w:snapToGrid w:val="0"/>
        <w:spacing w:line="360" w:lineRule="auto"/>
        <w:ind w:firstLine="420" w:firstLineChars="200"/>
        <w:rPr>
          <w:rFonts w:ascii="宋体" w:hAnsi="宋体"/>
          <w:szCs w:val="21"/>
        </w:rPr>
      </w:pPr>
      <w:r>
        <w:rPr>
          <w:rFonts w:hint="eastAsia" w:ascii="宋体" w:hAnsi="宋体"/>
          <w:szCs w:val="21"/>
        </w:rPr>
        <w:t>3、_______________________</w:t>
      </w:r>
    </w:p>
    <w:p>
      <w:pPr>
        <w:snapToGrid w:val="0"/>
        <w:spacing w:line="360" w:lineRule="auto"/>
        <w:ind w:firstLine="420" w:firstLineChars="200"/>
        <w:rPr>
          <w:rFonts w:ascii="宋体" w:hAnsi="宋体"/>
          <w:szCs w:val="21"/>
        </w:rPr>
      </w:pPr>
      <w:r>
        <w:rPr>
          <w:rFonts w:hint="eastAsia" w:ascii="宋体" w:hAnsi="宋体"/>
          <w:szCs w:val="21"/>
        </w:rPr>
        <w:t>4、_______________________</w:t>
      </w:r>
    </w:p>
    <w:p>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pPr>
        <w:snapToGrid w:val="0"/>
        <w:spacing w:line="360" w:lineRule="auto"/>
        <w:ind w:firstLine="422" w:firstLineChars="200"/>
        <w:rPr>
          <w:rFonts w:ascii="宋体" w:hAnsi="宋体"/>
          <w:b/>
          <w:szCs w:val="21"/>
        </w:rPr>
      </w:pPr>
      <w:r>
        <w:rPr>
          <w:rFonts w:hint="eastAsia" w:ascii="宋体" w:hAnsi="宋体"/>
          <w:b/>
          <w:szCs w:val="21"/>
        </w:rPr>
        <w:t>八、合同履行时间、履行方式及履行地点</w:t>
      </w:r>
    </w:p>
    <w:p>
      <w:pPr>
        <w:snapToGrid w:val="0"/>
        <w:spacing w:line="360" w:lineRule="auto"/>
        <w:ind w:firstLine="420" w:firstLineChars="200"/>
        <w:rPr>
          <w:rFonts w:ascii="宋体" w:hAnsi="宋体"/>
          <w:bCs/>
          <w:szCs w:val="21"/>
        </w:rPr>
      </w:pPr>
      <w:r>
        <w:rPr>
          <w:rFonts w:hint="eastAsia" w:ascii="宋体" w:hAnsi="宋体"/>
          <w:bCs/>
          <w:szCs w:val="21"/>
        </w:rPr>
        <w:t>1、</w:t>
      </w:r>
      <w:r>
        <w:rPr>
          <w:rFonts w:hint="eastAsia" w:ascii="宋体" w:hAnsi="宋体"/>
          <w:szCs w:val="21"/>
        </w:rPr>
        <w:t>履行时间</w:t>
      </w:r>
      <w:r>
        <w:rPr>
          <w:rFonts w:hint="eastAsia" w:ascii="宋体" w:hAnsi="宋体"/>
          <w:bCs/>
          <w:szCs w:val="21"/>
        </w:rPr>
        <w:t>：</w:t>
      </w:r>
      <w:r>
        <w:rPr>
          <w:rFonts w:hint="eastAsia" w:ascii="宋体" w:hAnsi="宋体"/>
          <w:szCs w:val="21"/>
        </w:rPr>
        <w:t>______________________</w:t>
      </w:r>
    </w:p>
    <w:p>
      <w:pPr>
        <w:snapToGrid w:val="0"/>
        <w:spacing w:line="360" w:lineRule="auto"/>
        <w:ind w:firstLine="420" w:firstLineChars="200"/>
        <w:rPr>
          <w:rFonts w:ascii="宋体" w:hAnsi="宋体"/>
          <w:bCs/>
          <w:szCs w:val="21"/>
        </w:rPr>
      </w:pPr>
      <w:r>
        <w:rPr>
          <w:rFonts w:hint="eastAsia" w:ascii="宋体" w:hAnsi="宋体"/>
          <w:bCs/>
          <w:szCs w:val="21"/>
        </w:rPr>
        <w:t>2、</w:t>
      </w:r>
      <w:r>
        <w:rPr>
          <w:rFonts w:hint="eastAsia" w:ascii="宋体" w:hAnsi="宋体"/>
          <w:szCs w:val="21"/>
        </w:rPr>
        <w:t>履行方式</w:t>
      </w:r>
      <w:r>
        <w:rPr>
          <w:rFonts w:hint="eastAsia" w:ascii="宋体" w:hAnsi="宋体"/>
          <w:bCs/>
          <w:szCs w:val="21"/>
        </w:rPr>
        <w:t>：</w:t>
      </w:r>
      <w:r>
        <w:rPr>
          <w:rFonts w:hint="eastAsia" w:ascii="宋体" w:hAnsi="宋体"/>
          <w:szCs w:val="21"/>
        </w:rPr>
        <w:t>______________________</w:t>
      </w:r>
    </w:p>
    <w:p>
      <w:pPr>
        <w:snapToGrid w:val="0"/>
        <w:spacing w:line="360" w:lineRule="auto"/>
        <w:ind w:firstLine="420" w:firstLineChars="200"/>
        <w:rPr>
          <w:rFonts w:ascii="宋体" w:hAnsi="宋体"/>
          <w:szCs w:val="21"/>
        </w:rPr>
      </w:pPr>
      <w:r>
        <w:rPr>
          <w:rFonts w:hint="eastAsia" w:ascii="宋体" w:hAnsi="宋体"/>
          <w:bCs/>
          <w:szCs w:val="21"/>
        </w:rPr>
        <w:t>3、</w:t>
      </w:r>
      <w:r>
        <w:rPr>
          <w:rFonts w:hint="eastAsia" w:ascii="宋体" w:hAnsi="宋体"/>
          <w:szCs w:val="21"/>
        </w:rPr>
        <w:t>履行地点</w:t>
      </w:r>
      <w:r>
        <w:rPr>
          <w:rFonts w:hint="eastAsia" w:ascii="宋体" w:hAnsi="宋体"/>
          <w:bCs/>
          <w:szCs w:val="21"/>
        </w:rPr>
        <w:t>：</w:t>
      </w:r>
      <w:r>
        <w:rPr>
          <w:rFonts w:hint="eastAsia" w:ascii="宋体" w:hAnsi="宋体"/>
          <w:szCs w:val="21"/>
          <w:u w:val="single"/>
        </w:rPr>
        <w:t>深圳市</w:t>
      </w:r>
    </w:p>
    <w:p>
      <w:pPr>
        <w:snapToGrid w:val="0"/>
        <w:spacing w:line="360" w:lineRule="auto"/>
        <w:ind w:firstLine="422" w:firstLineChars="200"/>
        <w:rPr>
          <w:rFonts w:ascii="宋体" w:hAnsi="宋体"/>
          <w:b/>
          <w:szCs w:val="21"/>
        </w:rPr>
      </w:pPr>
      <w:r>
        <w:rPr>
          <w:rFonts w:hint="eastAsia" w:ascii="宋体" w:hAnsi="宋体"/>
          <w:b/>
          <w:szCs w:val="21"/>
        </w:rPr>
        <w:t>九、验收</w:t>
      </w:r>
    </w:p>
    <w:p>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pPr>
        <w:snapToGrid w:val="0"/>
        <w:spacing w:line="360" w:lineRule="auto"/>
        <w:ind w:firstLine="420" w:firstLineChars="200"/>
        <w:rPr>
          <w:rFonts w:ascii="宋体" w:hAnsi="宋体"/>
          <w:szCs w:val="21"/>
        </w:rPr>
      </w:pPr>
      <w:r>
        <w:rPr>
          <w:rFonts w:hint="eastAsia" w:ascii="宋体" w:hAnsi="宋体"/>
          <w:szCs w:val="21"/>
        </w:rPr>
        <w:t>3、验收依据为征集文件、中标人投标文件，国家和行业有关规范、规程和标准。</w:t>
      </w:r>
    </w:p>
    <w:p>
      <w:pPr>
        <w:snapToGrid w:val="0"/>
        <w:spacing w:line="360" w:lineRule="auto"/>
        <w:ind w:firstLine="422" w:firstLineChars="200"/>
        <w:rPr>
          <w:rFonts w:ascii="宋体" w:hAnsi="宋体"/>
          <w:b/>
          <w:szCs w:val="21"/>
        </w:rPr>
      </w:pPr>
      <w:r>
        <w:rPr>
          <w:rFonts w:hint="eastAsia" w:ascii="宋体" w:hAnsi="宋体"/>
          <w:b/>
          <w:szCs w:val="21"/>
        </w:rPr>
        <w:t>十、付款方式和税费</w:t>
      </w:r>
    </w:p>
    <w:p>
      <w:pPr>
        <w:snapToGrid w:val="0"/>
        <w:spacing w:line="360" w:lineRule="auto"/>
        <w:ind w:firstLine="420" w:firstLineChars="200"/>
        <w:rPr>
          <w:rFonts w:ascii="宋体" w:hAnsi="宋体"/>
          <w:bCs/>
          <w:szCs w:val="21"/>
        </w:rPr>
      </w:pPr>
      <w:r>
        <w:rPr>
          <w:rFonts w:ascii="宋体" w:hAnsi="宋体" w:cs="宋体"/>
          <w:szCs w:val="21"/>
        </w:rPr>
        <w:t>本合同付款方式为</w:t>
      </w:r>
      <w:r>
        <w:rPr>
          <w:rFonts w:hint="eastAsia" w:ascii="宋体" w:hAnsi="宋体" w:cs="宋体"/>
          <w:szCs w:val="21"/>
        </w:rPr>
        <w:t>：</w:t>
      </w:r>
      <w:r>
        <w:rPr>
          <w:rFonts w:hint="eastAsia" w:ascii="宋体" w:hAnsi="宋体" w:cs="宋体"/>
          <w:szCs w:val="21"/>
          <w:u w:val="single"/>
        </w:rPr>
        <w:t xml:space="preserve">                </w:t>
      </w:r>
      <w:r>
        <w:rPr>
          <w:rFonts w:hint="eastAsia" w:ascii="宋体" w:hAnsi="宋体"/>
          <w:bCs/>
          <w:szCs w:val="21"/>
        </w:rPr>
        <w:t>。</w:t>
      </w:r>
    </w:p>
    <w:p>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pPr>
        <w:snapToGrid w:val="0"/>
        <w:spacing w:line="360" w:lineRule="auto"/>
        <w:ind w:firstLine="422" w:firstLineChars="200"/>
        <w:rPr>
          <w:rFonts w:ascii="宋体" w:hAnsi="宋体"/>
          <w:b/>
          <w:szCs w:val="21"/>
        </w:rPr>
      </w:pPr>
      <w:r>
        <w:rPr>
          <w:rFonts w:hint="eastAsia" w:ascii="宋体" w:hAnsi="宋体"/>
          <w:b/>
          <w:szCs w:val="21"/>
        </w:rPr>
        <w:t>十二、违约责任</w:t>
      </w:r>
    </w:p>
    <w:p>
      <w:pPr>
        <w:snapToGrid w:val="0"/>
        <w:spacing w:line="360" w:lineRule="auto"/>
        <w:ind w:firstLine="420" w:firstLineChars="200"/>
        <w:rPr>
          <w:rFonts w:ascii="宋体" w:hAnsi="宋体"/>
          <w:szCs w:val="21"/>
        </w:rPr>
      </w:pPr>
      <w:r>
        <w:rPr>
          <w:rFonts w:hint="eastAsia" w:ascii="宋体" w:hAnsi="宋体"/>
          <w:szCs w:val="21"/>
        </w:rPr>
        <w:t>1、因中标人原因，未能按规定完成本项目有关工作的，采购人可在支付合同余款中扣除合同价款</w:t>
      </w:r>
      <w:r>
        <w:rPr>
          <w:rFonts w:hint="eastAsia" w:ascii="宋体" w:hAnsi="宋体"/>
          <w:szCs w:val="21"/>
          <w:u w:val="single"/>
        </w:rPr>
        <w:t xml:space="preserve">        </w:t>
      </w:r>
      <w:r>
        <w:rPr>
          <w:rFonts w:hint="eastAsia" w:ascii="宋体" w:hAnsi="宋体"/>
          <w:szCs w:val="21"/>
        </w:rPr>
        <w:t>。</w:t>
      </w:r>
    </w:p>
    <w:p>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pPr>
        <w:snapToGrid w:val="0"/>
        <w:spacing w:line="360" w:lineRule="auto"/>
        <w:ind w:firstLine="420" w:firstLineChars="200"/>
        <w:rPr>
          <w:rFonts w:ascii="宋体" w:hAnsi="宋体"/>
          <w:szCs w:val="21"/>
        </w:rPr>
      </w:pPr>
      <w:r>
        <w:rPr>
          <w:rFonts w:hint="eastAsia" w:ascii="宋体" w:hAnsi="宋体"/>
          <w:szCs w:val="21"/>
        </w:rPr>
        <w:t>1、本合同与征集文件、中标人投标文件如有抵触之处，以本合同条款为准。</w:t>
      </w:r>
    </w:p>
    <w:p>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pPr>
        <w:snapToGrid w:val="0"/>
        <w:spacing w:line="360" w:lineRule="auto"/>
        <w:ind w:firstLine="420" w:firstLineChars="200"/>
        <w:rPr>
          <w:rFonts w:ascii="宋体" w:hAnsi="宋体"/>
          <w:szCs w:val="21"/>
        </w:rPr>
      </w:pPr>
      <w:r>
        <w:rPr>
          <w:rFonts w:hint="eastAsia" w:ascii="宋体" w:hAnsi="宋体"/>
          <w:szCs w:val="21"/>
        </w:rPr>
        <w:t>（1）征集文件、答疑及补充通知；</w:t>
      </w:r>
    </w:p>
    <w:p>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pPr>
        <w:snapToGrid w:val="0"/>
        <w:spacing w:line="360" w:lineRule="auto"/>
        <w:ind w:firstLine="420" w:firstLineChars="200"/>
        <w:rPr>
          <w:rFonts w:ascii="宋体" w:hAnsi="宋体"/>
          <w:szCs w:val="21"/>
        </w:rPr>
      </w:pPr>
      <w:r>
        <w:rPr>
          <w:rFonts w:hint="eastAsia" w:ascii="宋体" w:hAnsi="宋体"/>
          <w:szCs w:val="21"/>
        </w:rPr>
        <w:t>附件：</w:t>
      </w:r>
    </w:p>
    <w:p>
      <w:pPr>
        <w:snapToGrid w:val="0"/>
        <w:spacing w:line="360" w:lineRule="auto"/>
        <w:ind w:firstLine="420" w:firstLineChars="200"/>
        <w:rPr>
          <w:rFonts w:ascii="宋体" w:hAnsi="宋体"/>
          <w:szCs w:val="21"/>
        </w:rPr>
      </w:pPr>
      <w:r>
        <w:rPr>
          <w:rFonts w:hint="eastAsia" w:ascii="宋体" w:hAnsi="宋体"/>
          <w:szCs w:val="21"/>
        </w:rPr>
        <w:t>1、《中标通知书》</w:t>
      </w:r>
    </w:p>
    <w:p>
      <w:pPr>
        <w:snapToGrid w:val="0"/>
        <w:spacing w:line="360" w:lineRule="auto"/>
        <w:ind w:firstLine="420" w:firstLineChars="200"/>
        <w:rPr>
          <w:rFonts w:ascii="宋体" w:hAnsi="宋体"/>
          <w:szCs w:val="21"/>
        </w:rPr>
      </w:pPr>
      <w:r>
        <w:rPr>
          <w:rFonts w:hint="eastAsia" w:ascii="宋体" w:hAnsi="宋体"/>
          <w:szCs w:val="21"/>
        </w:rPr>
        <w:t>2、《投标文件》</w:t>
      </w:r>
    </w:p>
    <w:p>
      <w:pPr>
        <w:snapToGrid w:val="0"/>
        <w:spacing w:line="360" w:lineRule="auto"/>
        <w:ind w:firstLine="420" w:firstLineChars="200"/>
        <w:rPr>
          <w:rFonts w:ascii="宋体" w:hAnsi="宋体"/>
          <w:szCs w:val="21"/>
        </w:rPr>
      </w:pPr>
      <w:r>
        <w:rPr>
          <w:rFonts w:hint="eastAsia" w:ascii="宋体" w:hAnsi="宋体"/>
          <w:szCs w:val="21"/>
        </w:rPr>
        <w:t>3、《征集文件》</w:t>
      </w:r>
    </w:p>
    <w:p>
      <w:pPr>
        <w:snapToGrid w:val="0"/>
        <w:spacing w:line="360" w:lineRule="auto"/>
        <w:rPr>
          <w:rFonts w:ascii="宋体" w:hAnsi="宋体"/>
          <w:szCs w:val="21"/>
        </w:rPr>
      </w:pP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pPr>
        <w:spacing w:line="360" w:lineRule="auto"/>
        <w:ind w:firstLine="420" w:firstLineChars="200"/>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widowControl/>
        <w:jc w:val="left"/>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br w:type="page"/>
      </w: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adjustRightInd w:val="0"/>
        <w:snapToGrid w:val="0"/>
        <w:spacing w:line="300" w:lineRule="auto"/>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第五部分</w:t>
      </w:r>
    </w:p>
    <w:p>
      <w:pPr>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通用条款（投标须知）</w:t>
      </w:r>
    </w:p>
    <w:p>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pPr>
        <w:jc w:val="center"/>
        <w:rPr>
          <w:rFonts w:cs="仿宋" w:asciiTheme="minorEastAsia" w:hAnsiTheme="minorEastAsia" w:eastAsiaTheme="minorEastAsia"/>
          <w:b/>
          <w:snapToGrid w:val="0"/>
          <w:kern w:val="0"/>
          <w:sz w:val="32"/>
          <w:szCs w:val="32"/>
        </w:rPr>
      </w:pPr>
      <w:r>
        <w:rPr>
          <w:rFonts w:hint="eastAsia" w:cs="仿宋" w:asciiTheme="minorEastAsia" w:hAnsiTheme="minorEastAsia" w:eastAsiaTheme="minorEastAsia"/>
          <w:b/>
          <w:snapToGrid w:val="0"/>
          <w:kern w:val="0"/>
          <w:sz w:val="32"/>
          <w:szCs w:val="32"/>
        </w:rPr>
        <w:t>通用条款（投标须知）</w:t>
      </w:r>
    </w:p>
    <w:p>
      <w:pPr>
        <w:adjustRightInd w:val="0"/>
        <w:spacing w:line="360" w:lineRule="auto"/>
        <w:jc w:val="center"/>
        <w:rPr>
          <w:rFonts w:cs="仿宋" w:asciiTheme="minorEastAsia" w:hAnsiTheme="minorEastAsia" w:eastAsiaTheme="minorEastAsia"/>
          <w:b/>
          <w:snapToGrid w:val="0"/>
          <w:kern w:val="0"/>
          <w:sz w:val="32"/>
          <w:szCs w:val="32"/>
        </w:rPr>
      </w:pPr>
    </w:p>
    <w:p>
      <w:pPr>
        <w:adjustRightInd w:val="0"/>
        <w:spacing w:line="360" w:lineRule="auto"/>
        <w:jc w:val="center"/>
        <w:rPr>
          <w:rFonts w:cs="仿宋" w:asciiTheme="minorEastAsia" w:hAnsiTheme="minorEastAsia" w:eastAsiaTheme="minorEastAsia"/>
          <w:b/>
          <w:snapToGrid w:val="0"/>
          <w:kern w:val="0"/>
          <w:sz w:val="32"/>
          <w:szCs w:val="32"/>
        </w:rPr>
      </w:pPr>
      <w:r>
        <w:rPr>
          <w:rFonts w:hint="eastAsia" w:cs="仿宋" w:asciiTheme="minorEastAsia" w:hAnsiTheme="minorEastAsia" w:eastAsiaTheme="minorEastAsia"/>
          <w:b/>
          <w:snapToGrid w:val="0"/>
          <w:kern w:val="0"/>
          <w:sz w:val="32"/>
          <w:szCs w:val="32"/>
        </w:rPr>
        <w:t>Ａ  说  明</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 适用范围</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1.1  本征集文件仅适用于投标须知前附表（以下简称“前附表”）第1项所叙述项目的货物、工程及服务采购。</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1.2  上述采购按照采购单位内部管控制度，参考《中华人民共和国政府采购法》和《深圳经济特区政府采购条例》及有关招投标法规、规章、规定，择优选定投标供应商。</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 定义</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  “</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”系指前附表第2项所述。</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  “</w:t>
      </w:r>
      <w:r>
        <w:rPr>
          <w:rFonts w:hint="eastAsia" w:cs="仿宋" w:asciiTheme="minorEastAsia" w:hAnsiTheme="minorEastAsia" w:eastAsiaTheme="minorEastAsia"/>
          <w:bCs/>
          <w:snapToGrid w:val="0"/>
          <w:kern w:val="0"/>
          <w:szCs w:val="21"/>
        </w:rPr>
        <w:t>采购代理机构</w:t>
      </w:r>
      <w:r>
        <w:rPr>
          <w:rFonts w:hint="eastAsia" w:cs="仿宋" w:asciiTheme="minorEastAsia" w:hAnsiTheme="minorEastAsia" w:eastAsiaTheme="minorEastAsia"/>
          <w:snapToGrid w:val="0"/>
          <w:kern w:val="0"/>
          <w:szCs w:val="21"/>
        </w:rPr>
        <w:t>”系前附表第3项所述。</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2.3  “投标供应商”系指向</w:t>
      </w:r>
      <w:r>
        <w:rPr>
          <w:rFonts w:hint="eastAsia" w:cs="仿宋" w:asciiTheme="minorEastAsia" w:hAnsiTheme="minorEastAsia" w:eastAsiaTheme="minorEastAsia"/>
          <w:bCs/>
          <w:snapToGrid w:val="0"/>
          <w:kern w:val="0"/>
          <w:szCs w:val="21"/>
        </w:rPr>
        <w:t>采购代理机构</w:t>
      </w:r>
      <w:r>
        <w:rPr>
          <w:rFonts w:hint="eastAsia" w:cs="仿宋" w:asciiTheme="minorEastAsia" w:hAnsiTheme="minorEastAsia" w:eastAsiaTheme="minorEastAsia"/>
          <w:snapToGrid w:val="0"/>
          <w:kern w:val="0"/>
          <w:szCs w:val="21"/>
        </w:rPr>
        <w:t>提交投标文件的投标供应商。</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  “货物”系指投标供应商按征集文件规定，须向</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提供的设备及材料。</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2.5  “工程”系指投标供应商按征集文件规定，须向</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提供的设备及材料的安装。</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  “服务”系指征集文件规定卖方须承担设计和其它类似的义务。</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3. 资金来源</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3.1  采购资金通过前附表第4 项的方式获得，并用于采购合同下的合格支付。</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4. 合格的投标供应商</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4.1  具有独立承担民事责任的能力。</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4.2  具有良好的商业信誉和健全的财务会计制度。</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4.3  具有履行合同所必需的设备和专业技术能力。</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4.4  有依法缴纳税收和社会保障资金的良好记录。</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4.5  参加政府采购活动近三年内，在经营活动中没有重大违法记录。</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4.6  法律、行政法规规定的其他条件。</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4.7  符合前附表第5项规定的条件。</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4.8  联合体投标</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4.8.1　以下有关联合体投标的条款仅适用于允许投标供应商组成联合体投标的项目。是否允许联合体投标以“前附表”中的规定或说明为准。</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4.8.2  由两个或两个以上的自然人、法人或者其他组织可以组成一个联合体，以一个投标供应商的身份共同投标时，应符合以下原则：</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（1）投标联合体各方参加政府采购活动应当具备下列条件： </w:t>
      </w:r>
    </w:p>
    <w:p>
      <w:pPr>
        <w:adjustRightInd w:val="0"/>
        <w:spacing w:line="360" w:lineRule="auto"/>
        <w:ind w:firstLine="567" w:firstLineChars="27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1、具有独立承担民事责任的能力； </w:t>
      </w:r>
    </w:p>
    <w:p>
      <w:pPr>
        <w:adjustRightInd w:val="0"/>
        <w:spacing w:line="360" w:lineRule="auto"/>
        <w:ind w:firstLine="567" w:firstLineChars="27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2、具有良好的商业信誉和健全的财务会计制度； </w:t>
      </w:r>
    </w:p>
    <w:p>
      <w:pPr>
        <w:adjustRightInd w:val="0"/>
        <w:spacing w:line="360" w:lineRule="auto"/>
        <w:ind w:firstLine="567" w:firstLineChars="27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3、具有履行合同所必需的设备和专业技术能力； </w:t>
      </w:r>
    </w:p>
    <w:p>
      <w:pPr>
        <w:adjustRightInd w:val="0"/>
        <w:spacing w:line="360" w:lineRule="auto"/>
        <w:ind w:firstLine="567" w:firstLineChars="27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4、有依法缴纳税收和社会保障资金的良好记录； </w:t>
      </w:r>
    </w:p>
    <w:p>
      <w:pPr>
        <w:adjustRightInd w:val="0"/>
        <w:spacing w:line="360" w:lineRule="auto"/>
        <w:ind w:firstLine="567" w:firstLineChars="27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5、参加政府采购活动前三年内，在经营活动中没有重大违法记录； </w:t>
      </w:r>
    </w:p>
    <w:p>
      <w:pPr>
        <w:adjustRightInd w:val="0"/>
        <w:spacing w:line="360" w:lineRule="auto"/>
        <w:ind w:firstLine="567" w:firstLineChars="27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6、法律、行政法规规定的其他条件。 </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（2）投标联合体各方必须有一方先行注册成深圳公共资源交易中心投标供应商；</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（3）联合体中有同类资质的投标供应商按照联合体分工承担相同工作的，应当按照资质等级较低的投标供应商确定资质等级。</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（4）是否允许联合体参加投标，应当由采购人和采购代理机构根据项目的实际情况和潜在投标供应商的数量自主决定，如果决定接受联合体投标则应当在采购公告中明示。</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5）采购人根据采购项目的特殊要求规定投标供应商特定条件的，联合体各方中至少应当有一方符合采购人规定的特定条件。对于采购公告对投标供应商某一资格有要求的，按照联合体各方中最低资质等级确定联合体的资质等级；联合体各方的不同资质可优势互补。</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（6）投标供应商的投标文件及中标后签署的合同协议对联合体各方均具法律约束力；</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（7）联合体各方应当签订共同投标协议，明确约定各方拟承担的工作和责任，该共同投标协议应作为投标文件不可缺的组成部分；</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（8）联合体中标后，联合体各方应当共同与采购人签订合同，就中标项目向采购人承担连带责任；</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（9）联合体的各方应当共同推荐一联合体投标授权代表，由联合体各方提交一份授权书，证明其有资格代表联合体各方签署投标文件，该授权书应作为投标文件不可缺的组成部分；</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10）以联合体形式参加政府采购活动的，联合体各方不得再单独参加或者与其他投标供应商另外组成联合体参加同一合同项下的政府采购活动，出现上述情况者，其投标和与此有关的联合体、总包单位的投标将被拒绝；</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（11）本次采购中“投标供应商”一词亦指联合体各方，“前附表”另有规定或说明的除外。</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5. 采购活动费用的承担</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5.1  无论采购过程中的做法和结果如何，投标供应商自行承担所有与参加采购活动有关的全部费用。</w:t>
      </w:r>
    </w:p>
    <w:p>
      <w:pPr>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6.  踏勘现场</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6.1  </w:t>
      </w:r>
      <w:r>
        <w:rPr>
          <w:rFonts w:hint="eastAsia" w:cs="仿宋" w:asciiTheme="minorEastAsia" w:hAnsiTheme="minorEastAsia" w:eastAsiaTheme="minorEastAsia"/>
          <w:snapToGrid w:val="0"/>
          <w:kern w:val="0"/>
          <w:szCs w:val="21"/>
        </w:rPr>
        <w:t>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zCs w:val="21"/>
        </w:rPr>
        <w:t>将按前附表第6项的规定，组织投标供应商对现场及周围环境进行踏勘，以便投标供应商获取须自己负责的有关编制投标文件和签署合同所需的所有资料。踏勘现场所发生的费用由投标供应商自己承担。</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6.2 </w:t>
      </w:r>
      <w:r>
        <w:rPr>
          <w:rFonts w:hint="eastAsia" w:cs="仿宋" w:asciiTheme="minorEastAsia" w:hAnsiTheme="minorEastAsia" w:eastAsiaTheme="minorEastAsia"/>
          <w:bCs/>
          <w:szCs w:val="21"/>
        </w:rPr>
        <w:t xml:space="preserve"> 采购人</w:t>
      </w:r>
      <w:r>
        <w:rPr>
          <w:rFonts w:hint="eastAsia" w:cs="仿宋" w:asciiTheme="minorEastAsia" w:hAnsiTheme="minorEastAsia" w:eastAsiaTheme="minorEastAsia"/>
          <w:szCs w:val="21"/>
        </w:rPr>
        <w:t>和</w:t>
      </w:r>
      <w:r>
        <w:rPr>
          <w:rFonts w:hint="eastAsia" w:cs="仿宋" w:asciiTheme="minorEastAsia" w:hAnsiTheme="minorEastAsia" w:eastAsiaTheme="minorEastAsia"/>
          <w:snapToGrid w:val="0"/>
          <w:kern w:val="0"/>
          <w:szCs w:val="21"/>
        </w:rPr>
        <w:t>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zCs w:val="21"/>
        </w:rPr>
        <w:t>向投标供应商提供的有关现场的资料和数据，是</w:t>
      </w:r>
      <w:r>
        <w:rPr>
          <w:rFonts w:hint="eastAsia" w:cs="仿宋" w:asciiTheme="minorEastAsia" w:hAnsiTheme="minorEastAsia" w:eastAsiaTheme="minorEastAsia"/>
          <w:bCs/>
          <w:szCs w:val="21"/>
        </w:rPr>
        <w:t>采购人</w:t>
      </w:r>
      <w:r>
        <w:rPr>
          <w:rFonts w:hint="eastAsia" w:cs="仿宋" w:asciiTheme="minorEastAsia" w:hAnsiTheme="minorEastAsia" w:eastAsiaTheme="minorEastAsia"/>
          <w:szCs w:val="21"/>
        </w:rPr>
        <w:t>和</w:t>
      </w:r>
      <w:r>
        <w:rPr>
          <w:rFonts w:hint="eastAsia" w:cs="仿宋" w:asciiTheme="minorEastAsia" w:hAnsiTheme="minorEastAsia" w:eastAsiaTheme="minorEastAsia"/>
          <w:snapToGrid w:val="0"/>
          <w:kern w:val="0"/>
          <w:szCs w:val="21"/>
        </w:rPr>
        <w:t>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zCs w:val="21"/>
        </w:rPr>
        <w:t>现有的能使投标供应商利用的资料。</w:t>
      </w:r>
      <w:r>
        <w:rPr>
          <w:rFonts w:hint="eastAsia" w:cs="仿宋" w:asciiTheme="minorEastAsia" w:hAnsiTheme="minorEastAsia" w:eastAsiaTheme="minorEastAsia"/>
          <w:bCs/>
          <w:szCs w:val="21"/>
        </w:rPr>
        <w:t>采购人</w:t>
      </w:r>
      <w:r>
        <w:rPr>
          <w:rFonts w:hint="eastAsia" w:cs="仿宋" w:asciiTheme="minorEastAsia" w:hAnsiTheme="minorEastAsia" w:eastAsiaTheme="minorEastAsia"/>
          <w:szCs w:val="21"/>
        </w:rPr>
        <w:t>和</w:t>
      </w:r>
      <w:r>
        <w:rPr>
          <w:rFonts w:hint="eastAsia" w:cs="仿宋" w:asciiTheme="minorEastAsia" w:hAnsiTheme="minorEastAsia" w:eastAsiaTheme="minorEastAsia"/>
          <w:snapToGrid w:val="0"/>
          <w:kern w:val="0"/>
          <w:szCs w:val="21"/>
        </w:rPr>
        <w:t>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zCs w:val="21"/>
        </w:rPr>
        <w:t>对投标供应商由此而做出的推论、理解和结论概不负责。</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6.3  投标供应商及其人员经过</w:t>
      </w:r>
      <w:r>
        <w:rPr>
          <w:rFonts w:hint="eastAsia" w:cs="仿宋" w:asciiTheme="minorEastAsia" w:hAnsiTheme="minorEastAsia" w:eastAsiaTheme="minorEastAsia"/>
          <w:bCs/>
          <w:szCs w:val="21"/>
        </w:rPr>
        <w:t>采购人</w:t>
      </w:r>
      <w:r>
        <w:rPr>
          <w:rFonts w:hint="eastAsia" w:cs="仿宋" w:asciiTheme="minorEastAsia" w:hAnsiTheme="minorEastAsia" w:eastAsiaTheme="minorEastAsia"/>
          <w:szCs w:val="21"/>
        </w:rPr>
        <w:t>和</w:t>
      </w:r>
      <w:r>
        <w:rPr>
          <w:rFonts w:hint="eastAsia" w:cs="仿宋" w:asciiTheme="minorEastAsia" w:hAnsiTheme="minorEastAsia" w:eastAsiaTheme="minorEastAsia"/>
          <w:snapToGrid w:val="0"/>
          <w:kern w:val="0"/>
          <w:szCs w:val="21"/>
        </w:rPr>
        <w:t>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zCs w:val="21"/>
        </w:rPr>
        <w:t>的允许，可为踏勘目的进入</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zCs w:val="21"/>
        </w:rPr>
        <w:t>的现场，但投标供应商及其人员不得因此使</w:t>
      </w:r>
      <w:r>
        <w:rPr>
          <w:rFonts w:hint="eastAsia" w:cs="仿宋" w:asciiTheme="minorEastAsia" w:hAnsiTheme="minorEastAsia" w:eastAsiaTheme="minorEastAsia"/>
          <w:bCs/>
          <w:szCs w:val="21"/>
        </w:rPr>
        <w:t>采购人</w:t>
      </w:r>
      <w:r>
        <w:rPr>
          <w:rFonts w:hint="eastAsia" w:cs="仿宋" w:asciiTheme="minorEastAsia" w:hAnsiTheme="minorEastAsia" w:eastAsiaTheme="minorEastAsia"/>
          <w:szCs w:val="21"/>
        </w:rPr>
        <w:t>及其人员承担有关的责任和蒙受损失。投标供应商并应对由此次踏勘现场面造成的死亡、人身伤害、财产损失、损害以及任何其它损失、损害和引起的费用和开支承担责任。</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6.4   如果投标供应商认为需要再次进行现场踏勘，</w:t>
      </w:r>
      <w:r>
        <w:rPr>
          <w:rFonts w:hint="eastAsia" w:cs="仿宋" w:asciiTheme="minorEastAsia" w:hAnsiTheme="minorEastAsia" w:eastAsiaTheme="minorEastAsia"/>
          <w:bCs/>
          <w:szCs w:val="21"/>
        </w:rPr>
        <w:t>采购人</w:t>
      </w:r>
      <w:r>
        <w:rPr>
          <w:rFonts w:hint="eastAsia" w:cs="仿宋" w:asciiTheme="minorEastAsia" w:hAnsiTheme="minorEastAsia" w:eastAsiaTheme="minorEastAsia"/>
          <w:szCs w:val="21"/>
        </w:rPr>
        <w:t>将予以支持，费用自理。</w:t>
      </w:r>
    </w:p>
    <w:p>
      <w:pPr>
        <w:rPr>
          <w:rFonts w:cs="仿宋" w:asciiTheme="minorEastAsia" w:hAnsiTheme="minorEastAsia" w:eastAsiaTheme="minorEastAsia"/>
        </w:rPr>
      </w:pPr>
      <w:bookmarkStart w:id="6" w:name="q5"/>
      <w:bookmarkEnd w:id="6"/>
    </w:p>
    <w:p>
      <w:pPr>
        <w:adjustRightInd w:val="0"/>
        <w:spacing w:line="360" w:lineRule="auto"/>
        <w:jc w:val="center"/>
        <w:rPr>
          <w:rFonts w:cs="仿宋" w:asciiTheme="minorEastAsia" w:hAnsiTheme="minorEastAsia" w:eastAsiaTheme="minorEastAsia"/>
          <w:b/>
          <w:snapToGrid w:val="0"/>
          <w:kern w:val="0"/>
          <w:sz w:val="32"/>
          <w:szCs w:val="32"/>
        </w:rPr>
      </w:pPr>
      <w:r>
        <w:rPr>
          <w:rFonts w:hint="eastAsia" w:cs="仿宋" w:asciiTheme="minorEastAsia" w:hAnsiTheme="minorEastAsia" w:eastAsiaTheme="minorEastAsia"/>
          <w:b/>
          <w:snapToGrid w:val="0"/>
          <w:kern w:val="0"/>
          <w:sz w:val="32"/>
          <w:szCs w:val="32"/>
        </w:rPr>
        <w:t>Ｂ　征集文件说明</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7. 征集文件的构成</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7.1  征集文件是用以阐明所需设备及服务的情况，以及采购、投标程序和相应的合同条款。征集文件由下述部份组成：</w:t>
      </w:r>
    </w:p>
    <w:p>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（1）采购公告</w:t>
      </w:r>
    </w:p>
    <w:p>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（2）投标须知前附表及评审信息</w:t>
      </w:r>
    </w:p>
    <w:p>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（3）采购项目需求</w:t>
      </w:r>
    </w:p>
    <w:p>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（4）投标文件格式</w:t>
      </w:r>
    </w:p>
    <w:p>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（5）合同条款</w:t>
      </w:r>
    </w:p>
    <w:p>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（6）通用条款（投标须知）</w:t>
      </w:r>
    </w:p>
    <w:p>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（7）附件</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8.  征集文件的澄清及修改</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8.1  投标供应商对征集文件如有疑点，可要求澄清，应在投标截止日5日前按采购公告中载明的地址以书面形式（包括信函、传真，下同）通知到采购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将视情况确定采用适当方式予以澄清或以书面形式予以答复，并在其认为必要时，将不标明查询来源的书面答复发给已购买征集文件的每一投标供应商。</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8.2  在投标截止日3日前，采购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可依据投标供应商要求澄清的问题修改征集文件，并以书面形式通知所有购买征集文件的每一投标供应商，对方在收到该通知后应立即以书面的形式予以确认。</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8.3  为了使投标供应商在准备投标文件时有合理的时间考虑征集文件的修改，采购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可酌情推迟投标截止时间和开标时间，并以书面形式通知已购买征集文件的每一投标供应商。</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8.4  征集文件的修改将构成征集文件的一部分，对投标供应商有约束力。</w:t>
      </w:r>
    </w:p>
    <w:p>
      <w:pPr>
        <w:adjustRightInd w:val="0"/>
        <w:spacing w:line="360" w:lineRule="auto"/>
        <w:rPr>
          <w:rFonts w:cs="仿宋" w:asciiTheme="minorEastAsia" w:hAnsiTheme="minorEastAsia" w:eastAsiaTheme="minorEastAsia"/>
          <w:snapToGrid w:val="0"/>
          <w:kern w:val="0"/>
          <w:szCs w:val="21"/>
        </w:rPr>
      </w:pPr>
    </w:p>
    <w:p>
      <w:pPr>
        <w:adjustRightInd w:val="0"/>
        <w:spacing w:line="360" w:lineRule="auto"/>
        <w:ind w:firstLine="600"/>
        <w:jc w:val="center"/>
        <w:rPr>
          <w:rFonts w:cs="仿宋" w:asciiTheme="minorEastAsia" w:hAnsiTheme="minorEastAsia" w:eastAsiaTheme="minorEastAsia"/>
          <w:b/>
          <w:snapToGrid w:val="0"/>
          <w:kern w:val="0"/>
          <w:sz w:val="32"/>
          <w:szCs w:val="32"/>
        </w:rPr>
      </w:pPr>
      <w:bookmarkStart w:id="7" w:name="q6"/>
      <w:bookmarkEnd w:id="7"/>
      <w:r>
        <w:rPr>
          <w:rFonts w:hint="eastAsia" w:cs="仿宋" w:asciiTheme="minorEastAsia" w:hAnsiTheme="minorEastAsia" w:eastAsiaTheme="minorEastAsia"/>
          <w:b/>
          <w:snapToGrid w:val="0"/>
          <w:kern w:val="0"/>
          <w:sz w:val="32"/>
          <w:szCs w:val="32"/>
        </w:rPr>
        <w:t>Ｃ  投标文件的编写</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9. 投标语言及计量单位</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9.1  投标文件及投标供应商和采购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就投标交换的文件和往来的信件，应以中文书写。</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9.2  除在征集文件的设计思路和方案中另有规定外，计量单位应使用中华人民共和国法定计量单位（国际单位制和国家选定的其他计量单位）。</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10. 投标文件的组成</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10.1  投标文件应包括下列部份：</w:t>
      </w:r>
    </w:p>
    <w:p>
      <w:pPr>
        <w:adjustRightInd w:val="0"/>
        <w:spacing w:line="360" w:lineRule="auto"/>
        <w:ind w:left="945" w:leftChars="100" w:hanging="735" w:hangingChars="3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10.1.1 开标信封：装有“法定代表人（负责人）证明书、法定代表人（负责人）授权委托书”和“开标一览表”单独密封的信封。</w:t>
      </w:r>
    </w:p>
    <w:p>
      <w:pPr>
        <w:adjustRightInd w:val="0"/>
        <w:spacing w:line="360" w:lineRule="auto"/>
        <w:ind w:firstLine="210" w:firstLineChars="1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10.1.2 投标文件：</w:t>
      </w:r>
    </w:p>
    <w:p>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（1）目录</w:t>
      </w:r>
    </w:p>
    <w:p>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（2）政府采购违法行为风险知悉确认书</w:t>
      </w:r>
    </w:p>
    <w:p>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（3）评审指引表</w:t>
      </w:r>
    </w:p>
    <w:p>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（4）声明函（格式1）</w:t>
      </w:r>
    </w:p>
    <w:p>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（5）投标供应商资格证明文件（格式2）</w:t>
      </w:r>
    </w:p>
    <w:p>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（6）评分中涉及的承诺及声明函（格式3）</w:t>
      </w:r>
    </w:p>
    <w:p>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（7）</w:t>
      </w:r>
      <w:r>
        <w:fldChar w:fldCharType="begin"/>
      </w:r>
      <w:r>
        <w:instrText xml:space="preserve"> HYPERLINK \l "q24" </w:instrText>
      </w:r>
      <w:r>
        <w:fldChar w:fldCharType="separate"/>
      </w:r>
      <w:r>
        <w:rPr>
          <w:rFonts w:hint="eastAsia" w:cs="仿宋" w:asciiTheme="minorEastAsia" w:hAnsiTheme="minorEastAsia" w:eastAsiaTheme="minorEastAsia"/>
          <w:szCs w:val="21"/>
        </w:rPr>
        <w:t>开标一览表</w:t>
      </w:r>
      <w:r>
        <w:rPr>
          <w:rFonts w:hint="eastAsia" w:cs="仿宋" w:asciiTheme="minorEastAsia" w:hAnsiTheme="minorEastAsia" w:eastAsiaTheme="minorEastAsia"/>
          <w:szCs w:val="21"/>
        </w:rPr>
        <w:fldChar w:fldCharType="end"/>
      </w:r>
      <w:r>
        <w:rPr>
          <w:rFonts w:hint="eastAsia" w:cs="仿宋" w:asciiTheme="minorEastAsia" w:hAnsiTheme="minorEastAsia" w:eastAsiaTheme="minorEastAsia"/>
          <w:snapToGrid w:val="0"/>
          <w:kern w:val="0"/>
          <w:szCs w:val="21"/>
        </w:rPr>
        <w:t>（格式4）</w:t>
      </w:r>
    </w:p>
    <w:p>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（8）报价表（格式5）</w:t>
      </w:r>
    </w:p>
    <w:p>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（9）服务方案（格式6）</w:t>
      </w:r>
    </w:p>
    <w:p>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（10）差异表（格式7）</w:t>
      </w:r>
    </w:p>
    <w:p>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bCs/>
          <w:snapToGrid w:val="0"/>
          <w:kern w:val="0"/>
          <w:szCs w:val="21"/>
        </w:rPr>
        <w:t>（11）其他</w:t>
      </w:r>
      <w:r>
        <w:rPr>
          <w:rFonts w:hint="eastAsia" w:cs="仿宋" w:asciiTheme="minorEastAsia" w:hAnsiTheme="minorEastAsia" w:eastAsiaTheme="minorEastAsia"/>
          <w:snapToGrid w:val="0"/>
          <w:kern w:val="0"/>
          <w:szCs w:val="21"/>
        </w:rPr>
        <w:t>征集文件</w:t>
      </w:r>
      <w:r>
        <w:rPr>
          <w:rFonts w:hint="eastAsia" w:cs="仿宋" w:asciiTheme="minorEastAsia" w:hAnsiTheme="minorEastAsia" w:eastAsiaTheme="minorEastAsia"/>
          <w:bCs/>
          <w:snapToGrid w:val="0"/>
          <w:kern w:val="0"/>
          <w:szCs w:val="21"/>
        </w:rPr>
        <w:t>要求的资料或投标供应商认为需要补充的资料</w:t>
      </w:r>
      <w:r>
        <w:rPr>
          <w:rFonts w:hint="eastAsia" w:cs="仿宋" w:asciiTheme="minorEastAsia" w:hAnsiTheme="minorEastAsia" w:eastAsiaTheme="minorEastAsia"/>
          <w:snapToGrid w:val="0"/>
          <w:kern w:val="0"/>
          <w:szCs w:val="21"/>
        </w:rPr>
        <w:t>（格式8）</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b/>
          <w:snapToGrid w:val="0"/>
          <w:kern w:val="0"/>
          <w:szCs w:val="21"/>
        </w:rPr>
        <w:t>11. 投标文件格式</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11.1  投标文件必须毫无遗漏地包括本须知第10条规定的内容，投标供应商提交的投标文件必须毫无例外地使用征集文件所提供投标文件格式（表格可以按同样格式扩展）。</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b/>
          <w:snapToGrid w:val="0"/>
          <w:color w:val="FF0000"/>
          <w:kern w:val="0"/>
          <w:szCs w:val="21"/>
          <w:highlight w:val="yellow"/>
        </w:rPr>
        <w:t>注：如征集文件第三部分投标格式与本须知第10条规定的内容不一致，以投标文件第三部分投标格式为准。</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12. 投标报价</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12.1  投标报价应为到指定地点价，以人民币为结算单位。</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12.2  投标供应商应在征集文件所附的“开标一览表”（格式3）和“报价表”（格式4）上写明投标货物的单价和投标总价。投标供应商对每种项目只允许有一个报价，采购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不接受有任何选择的报价。</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12.3  此报价作为评审委员会评审标准，但不能限制</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以其它方式签订合同的权力。</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13. 投标供应商资格的证明文件</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13.1  投标供应商必须提交证明其有资格进行投标，和中标后有能力履行合同的证明文件（格式1与格式2），作为投标文件的一部份。</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14. 投标有效期</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14.1  投标文件的有效期按前附表第7项规定。</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14.2  特殊情况下，采购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可于投标有效期期满之前，要求投标供应商同意延长投标有效期。投标供应商可以拒绝或同意上述要求，但要求与答复均须是书面文件。对于同意该要求的投标供应商，采购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既不要求也不允许其修改投标文件。</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15. 项目保证金</w:t>
      </w:r>
    </w:p>
    <w:p>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15.1  以下有关项目保证金的条款仅适用于需要缴纳项目保证金的项目。是否需要缴纳项目保证金以《投标须知前附表》中的规定或说明为准。</w:t>
      </w:r>
    </w:p>
    <w:p>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15.2  投标供应商应向采购代理机构提交一笔不少于前附表第8项所规定的项目保证金，以到账为准。</w:t>
      </w:r>
    </w:p>
    <w:p>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15.3  项目保证金用于保护本次采购免受投标供应商的行为而引起的风险。</w:t>
      </w:r>
    </w:p>
    <w:p>
      <w:pPr>
        <w:adjustRightInd w:val="0"/>
        <w:spacing w:line="288" w:lineRule="auto"/>
        <w:ind w:left="630" w:hanging="630" w:hangingChars="3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15.4  项目保证金应以支票、汇票、本票或采购机构能够接受的银行保函等其它非现金形式提交。（注：必须从投标供应商基本账户转出，否则其投标无效。）</w:t>
      </w:r>
    </w:p>
    <w:p>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15.5  未按规定提交项目保证金的投标，将被视为无效投标。</w:t>
      </w:r>
    </w:p>
    <w:p>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15.6  未中标的投标供应商的项目保证金，采购代理机构将在中标通知书发出且收到投标供应商的《项目保证金退还申请表》后5个工作日内退还。</w:t>
      </w:r>
    </w:p>
    <w:p>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15.7  中标方的项目保证金，采购代理机构将在中标方签订合同并支付采购代理服务费后5个工作日内退还。</w:t>
      </w:r>
    </w:p>
    <w:p>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15.8  发生以下情况项目保证金将被没收：</w:t>
      </w:r>
    </w:p>
    <w:p>
      <w:pPr>
        <w:adjustRightInd w:val="0"/>
        <w:spacing w:line="288" w:lineRule="auto"/>
        <w:ind w:left="630" w:hanging="630" w:hangingChars="3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（1）投标供应商在投标有效期内撤销投标文件；</w:t>
      </w:r>
    </w:p>
    <w:p>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（3）投标供应商串通投标或者以其他弄虚作假方式投标；</w:t>
      </w:r>
    </w:p>
    <w:p>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（4）如果中标方未能做到：</w:t>
      </w:r>
    </w:p>
    <w:p>
      <w:pPr>
        <w:adjustRightInd w:val="0"/>
        <w:spacing w:line="288" w:lineRule="auto"/>
        <w:ind w:firstLine="630" w:firstLineChars="3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按本须知第32条规定签订合同；或</w:t>
      </w:r>
    </w:p>
    <w:p>
      <w:pPr>
        <w:adjustRightInd w:val="0"/>
        <w:spacing w:line="288" w:lineRule="auto"/>
        <w:ind w:firstLine="630" w:firstLineChars="3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按本须知第33条规定提供履约保证金；或</w:t>
      </w:r>
    </w:p>
    <w:p>
      <w:pPr>
        <w:adjustRightInd w:val="0"/>
        <w:spacing w:line="288" w:lineRule="auto"/>
        <w:ind w:firstLine="630" w:firstLineChars="3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按本须知第34条规定缴纳采购代理服务费。</w:t>
      </w:r>
    </w:p>
    <w:p>
      <w:pPr>
        <w:pStyle w:val="8"/>
        <w:rPr>
          <w:rFonts w:cs="仿宋" w:asciiTheme="minorEastAsia" w:hAnsiTheme="minorEastAsia" w:eastAsiaTheme="minorEastAsia"/>
          <w:szCs w:val="21"/>
        </w:rPr>
      </w:pPr>
      <w:r>
        <w:rPr>
          <w:rFonts w:hint="eastAsia" w:cs="仿宋" w:asciiTheme="minorEastAsia" w:hAnsiTheme="minorEastAsia" w:eastAsiaTheme="minorEastAsia"/>
          <w:snapToGrid w:val="0"/>
          <w:kern w:val="0"/>
          <w:szCs w:val="21"/>
        </w:rPr>
        <w:t>（5） 法律法规规定的其它情况。</w:t>
      </w:r>
    </w:p>
    <w:p>
      <w:pPr>
        <w:tabs>
          <w:tab w:val="left" w:pos="330"/>
        </w:tabs>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16. 投标预备会（</w:t>
      </w:r>
      <w:r>
        <w:rPr>
          <w:rFonts w:hint="eastAsia" w:cs="仿宋" w:asciiTheme="minorEastAsia" w:hAnsiTheme="minorEastAsia" w:eastAsiaTheme="minorEastAsia"/>
          <w:b/>
          <w:snapToGrid w:val="0"/>
          <w:kern w:val="0"/>
          <w:szCs w:val="21"/>
        </w:rPr>
        <w:t>答疑会）</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16.1  投标预备会（答疑会），如采购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认为有必要召开投标预备会，投标供应商应按照前附表第9项规定的或采购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另行书面通知的时间和地点，派出代表出席采购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主持的投标预备会。</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16.2  投标预备会的目的是澄清、解答投标供应商在查阅征集文件后和现场踏勘中可能提出的任何方面的问题。 </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16.3  投标供应商提出的与投标有关的任何采购问题须以书面形式给采购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。在投标预备会上，采购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将做出澄清和解答。</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16.4  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在投标预备会上所做出的澄清和解答，以书面答复为准，投标供应商在收到投标答疑纪要时应以书面形式予以确认。答疑纪要的有效性规定按照本须知第8.2、8.4款规定执行。</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16.5  未出席投标预备会不作为否定投标供应商资格的理由。</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17. 投标文件的份数和签署</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17.1  投标文件数量按前附表第10项所述，须在每一份投标文件上明确注明“正本”或“副本”字样。一旦正本和副本有差异，以正本为准。</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17.2  为了便于投标文件保存，需提交一份投标文件正文盖章扫描件（.pdf）电子档一份。</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17.3  投标文件正本及开标一览表须打印，并经法定代表人或其授权代表签字和盖章，投标文件的副本可采用正本复印件。</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17.4  除投标供应商对错处做必要修改外，投标文件中不许有加行、涂抹或改写，如有修改遗漏处，必须由投标供应商法定代表人或其授权代表签字和盖章。</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17.5  电报、电话、传真形式的投标概不接受。</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17.6  投标文件不符合上述规定，为无效投标。</w:t>
      </w:r>
    </w:p>
    <w:p>
      <w:pPr>
        <w:adjustRightInd w:val="0"/>
        <w:spacing w:line="360" w:lineRule="auto"/>
        <w:rPr>
          <w:rFonts w:cs="仿宋" w:asciiTheme="minorEastAsia" w:hAnsiTheme="minorEastAsia" w:eastAsiaTheme="minorEastAsia"/>
          <w:snapToGrid w:val="0"/>
          <w:kern w:val="0"/>
          <w:szCs w:val="21"/>
        </w:rPr>
      </w:pPr>
    </w:p>
    <w:p>
      <w:pPr>
        <w:adjustRightInd w:val="0"/>
        <w:spacing w:line="360" w:lineRule="auto"/>
        <w:jc w:val="center"/>
        <w:rPr>
          <w:rFonts w:cs="仿宋" w:asciiTheme="minorEastAsia" w:hAnsiTheme="minorEastAsia" w:eastAsiaTheme="minorEastAsia"/>
          <w:b/>
          <w:snapToGrid w:val="0"/>
          <w:kern w:val="0"/>
          <w:sz w:val="32"/>
          <w:szCs w:val="32"/>
        </w:rPr>
      </w:pPr>
      <w:bookmarkStart w:id="8" w:name="q7"/>
      <w:bookmarkEnd w:id="8"/>
      <w:r>
        <w:rPr>
          <w:rFonts w:hint="eastAsia" w:cs="仿宋" w:asciiTheme="minorEastAsia" w:hAnsiTheme="minorEastAsia" w:eastAsiaTheme="minorEastAsia"/>
          <w:b/>
          <w:snapToGrid w:val="0"/>
          <w:kern w:val="0"/>
          <w:sz w:val="32"/>
          <w:szCs w:val="32"/>
        </w:rPr>
        <w:t>Ｄ   投标文件的递交</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18. 投标文件的密封和标记</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18.1须在每一份投标文件封面上明确注明“正本”或“副本”字样。一旦正本和副本有差异，以正本为准。</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18.2投标文件完整密封（包含两份正本和四份副本）。</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18.3投标供应商应将投标文件正文扫描件电子档单独密封于一信封，在信封上注明“备份电子档”。</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18.4 将按本须知第18.2、18.3款密封好的“投标文件”和“备份电子档”一起封装在一个外层包封中，同时还应：</w:t>
      </w:r>
    </w:p>
    <w:p>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 写明采购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名称；</w:t>
      </w:r>
    </w:p>
    <w:p>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 注明下列识别标志：</w:t>
      </w:r>
    </w:p>
    <w:p>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A、项目编号；</w:t>
      </w:r>
    </w:p>
    <w:p>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B、项目名称；</w:t>
      </w:r>
    </w:p>
    <w:p>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C、投标供应商名称；</w:t>
      </w:r>
    </w:p>
    <w:p>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D、</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年</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月</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日</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时</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分（开标时间）前不得开封。</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18.5  投标供应商应将“法定代表人（负责人）证明书、法定代表人（负责人）授权委托书”和“开标一览表”密封于一信封，在递交投标文件时单独交与采购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，在信封上应：</w:t>
      </w:r>
    </w:p>
    <w:p>
      <w:pPr>
        <w:tabs>
          <w:tab w:val="left" w:pos="1470"/>
        </w:tabs>
        <w:adjustRightInd w:val="0"/>
        <w:spacing w:line="360" w:lineRule="auto"/>
        <w:ind w:left="629" w:leftChars="172" w:hanging="268" w:hangingChars="128"/>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  写明采购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名称；</w:t>
      </w:r>
    </w:p>
    <w:p>
      <w:pPr>
        <w:tabs>
          <w:tab w:val="left" w:pos="1470"/>
        </w:tabs>
        <w:adjustRightInd w:val="0"/>
        <w:spacing w:line="360" w:lineRule="auto"/>
        <w:ind w:left="629" w:leftChars="172" w:hanging="268" w:hangingChars="128"/>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  注明下列识别标志：</w:t>
      </w:r>
    </w:p>
    <w:p>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A、项目编号；</w:t>
      </w:r>
    </w:p>
    <w:p>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B、项目名称；</w:t>
      </w:r>
    </w:p>
    <w:p>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C、投标供应商名称；</w:t>
      </w:r>
    </w:p>
    <w:p>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D、注明：“开标一览表”和“法定代表人（负责人）证明书、法定代表人（负责人）授权委托书”</w:t>
      </w:r>
    </w:p>
    <w:p>
      <w:pPr>
        <w:adjustRightInd w:val="0"/>
        <w:spacing w:line="360" w:lineRule="auto"/>
        <w:ind w:firstLine="525" w:firstLineChars="2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E、</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年</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月</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日</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时</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分（开标时间）前不得开封。</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18.6  除了按本须知第18.4、18.5款所要求的识别字样外，在所有投标文件密封袋上还应写明投标供应商的名称与地址、邮政编码，以便投标按本须知第20条宣布“迟到”时，投标文件可以原封退回；</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18.7  如果投标文件没有按本投标须知第18.1至18.6款规定加写标记和密封，采购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将拒收或者告知投标供应商，采购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将不承担投标文件错放或提前开封的责任。对由此造成的提前开封的投标文件将予以拒绝，并退还给投标供应商；</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18.8  所有投标文件的密封袋的封口处应加盖投标供应商印章。</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18.9  投标文件需由专人送交。投标供应商应按本投标须知第18.1至18.8款中的规定进行密封和标记后，将投标文件按照前附表第11项中注明的地址送至采购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18.10  投标供应商按征集文件要求如需提供实物，应随投标文件一起递交。</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19. 递交投标文件的时间、地点以及截止时间</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19.1  递交投标文件的地点与开标仪式的地点相同。</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19.2  所有投标文件都必须按采购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在前附表第</w:t>
      </w:r>
      <w:bookmarkStart w:id="9" w:name="_Hlt35050056"/>
      <w:bookmarkEnd w:id="9"/>
      <w:r>
        <w:rPr>
          <w:rFonts w:hint="eastAsia" w:cs="仿宋" w:asciiTheme="minorEastAsia" w:hAnsiTheme="minorEastAsia" w:eastAsiaTheme="minorEastAsia"/>
          <w:snapToGrid w:val="0"/>
          <w:kern w:val="0"/>
          <w:szCs w:val="21"/>
        </w:rPr>
        <w:t>12项中规定的投标截止时间之前送至采购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19.3  出现第8.3款因征集文件修改或其他原因推迟投标截止时，则按采购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修改通知规定的时间递交。</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19.4  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zCs w:val="21"/>
        </w:rPr>
        <w:t>在投标截止时间前30分钟开始接收投标文件。</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20. 迟交的投标文件</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20.1  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将拒绝接收在投标截止时间后递交的投标文件。</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21. 投标文件的修改和撤回</w:t>
      </w:r>
    </w:p>
    <w:p>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21.1  投标供应商在提交投标文件后可对其投标文件进行修改或撤回，但采购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须在投标截止时间之前收到该修改或撤回的书面通知，该通知须有经正式授权的投标供应商代表签字。</w:t>
      </w:r>
    </w:p>
    <w:p>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21.2  投标供应商对投标文件修改的书面材料或撤回的通知应按本须知第17条和第18条规定进行编写、密封、标注和递交，并注明“修改投标文件”或“撤回投标”字样。</w:t>
      </w:r>
    </w:p>
    <w:p>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21.3  投标截止时间以后不得修改投标文件。</w:t>
      </w:r>
    </w:p>
    <w:p>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21.4  投标供应商不得在开标时间起到投标文件有效期满前撤销投标文件。</w:t>
      </w:r>
    </w:p>
    <w:p>
      <w:pPr>
        <w:rPr>
          <w:rFonts w:cs="仿宋" w:asciiTheme="minorEastAsia" w:hAnsiTheme="minorEastAsia" w:eastAsiaTheme="minorEastAsia"/>
        </w:rPr>
      </w:pPr>
      <w:bookmarkStart w:id="10" w:name="q8"/>
      <w:bookmarkEnd w:id="10"/>
    </w:p>
    <w:p>
      <w:pPr>
        <w:adjustRightInd w:val="0"/>
        <w:spacing w:line="360" w:lineRule="auto"/>
        <w:jc w:val="center"/>
        <w:rPr>
          <w:rFonts w:cs="仿宋" w:asciiTheme="minorEastAsia" w:hAnsiTheme="minorEastAsia" w:eastAsiaTheme="minorEastAsia"/>
          <w:b/>
          <w:snapToGrid w:val="0"/>
          <w:kern w:val="0"/>
          <w:sz w:val="32"/>
          <w:szCs w:val="32"/>
        </w:rPr>
      </w:pPr>
      <w:r>
        <w:rPr>
          <w:rFonts w:hint="eastAsia" w:cs="仿宋" w:asciiTheme="minorEastAsia" w:hAnsiTheme="minorEastAsia" w:eastAsiaTheme="minorEastAsia"/>
          <w:b/>
          <w:snapToGrid w:val="0"/>
          <w:kern w:val="0"/>
          <w:sz w:val="32"/>
          <w:szCs w:val="32"/>
        </w:rPr>
        <w:t>Ｅ   开标和评审</w:t>
      </w:r>
    </w:p>
    <w:p>
      <w:pPr>
        <w:tabs>
          <w:tab w:val="left" w:pos="0"/>
        </w:tabs>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22. 开标</w:t>
      </w:r>
    </w:p>
    <w:p>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22.1  采购代理机构在前附表第11项规定的时间和地点公开开标。</w:t>
      </w:r>
    </w:p>
    <w:p>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22.2  所有投标供应商法定代表人（负责人）或授权代表都须按时参加开标会，否则不接受其投标。【</w:t>
      </w:r>
      <w:r>
        <w:rPr>
          <w:rFonts w:hint="eastAsia" w:cs="仿宋" w:asciiTheme="minorEastAsia" w:hAnsiTheme="minorEastAsia" w:eastAsiaTheme="minorEastAsia"/>
          <w:b/>
          <w:bCs/>
          <w:snapToGrid w:val="0"/>
          <w:color w:val="FF0000"/>
          <w:kern w:val="0"/>
          <w:szCs w:val="21"/>
          <w:highlight w:val="yellow"/>
        </w:rPr>
        <w:t>如是邮寄标书，可以不用到现场参与</w:t>
      </w:r>
      <w:r>
        <w:rPr>
          <w:rFonts w:hint="eastAsia" w:cs="仿宋" w:asciiTheme="minorEastAsia" w:hAnsiTheme="minorEastAsia" w:eastAsiaTheme="minorEastAsia"/>
          <w:snapToGrid w:val="0"/>
          <w:kern w:val="0"/>
          <w:szCs w:val="21"/>
        </w:rPr>
        <w:t>】</w:t>
      </w:r>
    </w:p>
    <w:p>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22.3  开标时，采购代理机构将检查投标文件的密封情况，在确认无误后拆封唱标。唱标主要内容为下面几点并做好唱标记录。</w:t>
      </w:r>
    </w:p>
    <w:p>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22.3.1  核对法定代表人（负责人）或其授权代表身份证明，若不能提供相应的身份证明或不相符，则视为无效投标。 </w:t>
      </w:r>
    </w:p>
    <w:p>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22.3.2  投标文件中“开标一览表”的内容。</w:t>
      </w:r>
    </w:p>
    <w:p>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22.3.3  采购代理机构认为合适的其他内容。</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23. 评审委员会</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23.1采购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将根据采购货物的特点组建评审委员会，其成员由</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代表</w:t>
      </w:r>
      <w:r>
        <w:rPr>
          <w:rFonts w:hint="eastAsia" w:cs="仿宋" w:asciiTheme="minorEastAsia" w:hAnsiTheme="minorEastAsia" w:eastAsiaTheme="minorEastAsia"/>
          <w:bCs/>
          <w:snapToGrid w:val="0"/>
          <w:kern w:val="0"/>
          <w:szCs w:val="21"/>
        </w:rPr>
        <w:t>和有关技术、经济等方面的</w:t>
      </w:r>
      <w:r>
        <w:rPr>
          <w:rFonts w:hint="eastAsia" w:cs="仿宋" w:asciiTheme="minorEastAsia" w:hAnsiTheme="minorEastAsia" w:eastAsiaTheme="minorEastAsia"/>
          <w:snapToGrid w:val="0"/>
          <w:kern w:val="0"/>
          <w:szCs w:val="21"/>
        </w:rPr>
        <w:t>专家组成。评审委员会对投标文件进行审查、质疑、评估和比较。</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23.2 评审期间，投标供应商应由法定代表人或其授权代表参加询标。</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23.3评审委员会成员对需要共同认定的事项存在争议的，应当按照少数服从多数的原则作出结论。持不同意见的评审委员会成员应当在评审报告上签署不同意见及理由，否则视为同意评审报告。</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24. 对投标文件的审查和投标性的确定</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24.1  采购机构就投标文件中的资格证明文件内容对投标供应商进行资格核查：</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24.1.1采购机构就投标文件中的资格证明等内容对投标供应商进行资格核查，核查不合格的，认定其投标无效。</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  评审委员会将投标文件进行符合性审查：</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24.2.1  评审委员会将审查投标文件是否完整、总体编排是否有序、文件签署是否合格、有无计算上的错误等。</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24.2.2  算术错误将按以下方法更正（次序排先者优先）：</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 （1）开标一览表内容与投标文件中相应内容不一致的，以开标一览表为准；</w:t>
      </w:r>
    </w:p>
    <w:p>
      <w:pPr>
        <w:adjustRightInd w:val="0"/>
        <w:spacing w:line="360" w:lineRule="auto"/>
        <w:ind w:firstLine="105" w:firstLineChars="50"/>
        <w:rPr>
          <w:rFonts w:cs="仿宋" w:asciiTheme="minorEastAsia" w:hAnsiTheme="minorEastAsia" w:eastAsiaTheme="minorEastAsia"/>
          <w:szCs w:val="21"/>
        </w:rPr>
      </w:pPr>
      <w:r>
        <w:rPr>
          <w:rFonts w:hint="eastAsia" w:cs="仿宋" w:asciiTheme="minorEastAsia" w:hAnsiTheme="minorEastAsia" w:eastAsiaTheme="minorEastAsia"/>
          <w:snapToGrid w:val="0"/>
          <w:kern w:val="0"/>
          <w:szCs w:val="21"/>
        </w:rPr>
        <w:t>（2）</w:t>
      </w:r>
      <w:r>
        <w:rPr>
          <w:rFonts w:hint="eastAsia" w:cs="仿宋" w:asciiTheme="minorEastAsia" w:hAnsiTheme="minorEastAsia" w:eastAsiaTheme="minorEastAsia"/>
          <w:szCs w:val="21"/>
        </w:rPr>
        <w:t>大写金额和小写金额不一致的，以大写金额为准；</w:t>
      </w:r>
    </w:p>
    <w:p>
      <w:pPr>
        <w:adjustRightInd w:val="0"/>
        <w:spacing w:line="360" w:lineRule="auto"/>
        <w:ind w:firstLine="105" w:firstLineChars="50"/>
        <w:rPr>
          <w:rFonts w:cs="仿宋" w:asciiTheme="minorEastAsia" w:hAnsiTheme="minorEastAsia" w:eastAsiaTheme="minorEastAsia"/>
          <w:szCs w:val="21"/>
        </w:rPr>
      </w:pPr>
      <w:r>
        <w:rPr>
          <w:rFonts w:hint="eastAsia" w:cs="仿宋" w:asciiTheme="minorEastAsia" w:hAnsiTheme="minorEastAsia" w:eastAsiaTheme="minorEastAsia"/>
          <w:snapToGrid w:val="0"/>
          <w:kern w:val="0"/>
          <w:szCs w:val="21"/>
        </w:rPr>
        <w:t>（3）</w:t>
      </w:r>
      <w:r>
        <w:rPr>
          <w:rFonts w:hint="eastAsia" w:cs="仿宋" w:asciiTheme="minorEastAsia" w:hAnsiTheme="minorEastAsia" w:eastAsiaTheme="minorEastAsia"/>
          <w:szCs w:val="21"/>
        </w:rPr>
        <w:t>单价金额小数点或者百分比有明显错位的，以开标一览表的总价为准，并修改单价；</w:t>
      </w:r>
    </w:p>
    <w:p>
      <w:pPr>
        <w:adjustRightInd w:val="0"/>
        <w:spacing w:line="360" w:lineRule="auto"/>
        <w:ind w:firstLine="105" w:firstLineChars="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w:t>
      </w:r>
      <w:r>
        <w:rPr>
          <w:rFonts w:hint="eastAsia" w:cs="仿宋" w:asciiTheme="minorEastAsia" w:hAnsiTheme="minorEastAsia" w:eastAsiaTheme="minorEastAsia"/>
          <w:szCs w:val="21"/>
        </w:rPr>
        <w:t>总价金额与按单价汇总金额不一致的，以单价金额计算结果为准。</w:t>
      </w:r>
    </w:p>
    <w:p>
      <w:pPr>
        <w:adjustRightInd w:val="0"/>
        <w:spacing w:line="360" w:lineRule="auto"/>
        <w:ind w:left="210" w:hanging="210" w:hangingChars="100"/>
        <w:rPr>
          <w:rFonts w:cs="仿宋" w:asciiTheme="minorEastAsia" w:hAnsiTheme="minorEastAsia" w:eastAsiaTheme="minorEastAsia"/>
          <w:snapToGrid w:val="0"/>
          <w:kern w:val="0"/>
          <w:szCs w:val="21"/>
        </w:rPr>
      </w:pPr>
      <w:r>
        <w:rPr>
          <w:rFonts w:hint="eastAsia" w:cs="仿宋" w:asciiTheme="minorEastAsia" w:hAnsiTheme="minorEastAsia" w:eastAsiaTheme="minorEastAsia"/>
          <w:szCs w:val="21"/>
        </w:rPr>
        <w:t xml:space="preserve">     同时出现两种以上不一致的，按照前款规定的顺序修正。修正后的报价按照本须知25.2条的规定，经投标供应商确认后产生约束力，投标供应商不确认的，其投标无效。</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24.2.3  在对投标文件进行详细评估之前，评审委员会将依据投标供应商提供的“资格证明或声明文件”审查投标供应商的财务、技术和生产能力。如果确定投标供应商无资格履行合同，其投标将被拒绝。</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24.2.4  评审委员会将确定每份投标是否对征集文件的要求，作出了实质性的响应而没有重大偏离。实质性响应的投标是指符合征集文件的所有条款、条件和规定，且没有重大偏离或保留。重大偏离或保留系指影响到征集文件规定的范围、质量和性能，或限制了</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的权力和投标供应商的义务的规定。而纠正这些偏离将影响到其它提交实质性响应的投标供应商的公平竞争地位。</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24.2.5  评审委员会判断投标文件的投标性，仅基于征集文件和投标文件本身而不靠外部证据。</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24.2.6  评审委员会将拒绝被确定为非实质性投标的投标供应商。投标供应商不能通过修正或撤销不符之处，而使其投标成为实质性投标的投标。</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24.2.7  评审委员会允许修改投标中不构成重大偏离的、微小的、非正规、不一致或不规则的地方。</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24.2.8  评审委员会认为投标供应商的报价明显低于其他通过符合性审查投标供应商的报价，有可能影响产品质量或者不能诚信履约的，应当要求其在评审现场合理的时间内提供书面说明，必要时提交相关证明材料；投标供应商不能证明其报价合理性的，评审委员会应当将其作为无效投标处理。若评审委员会成员对是否须由投标供应商作出报价合理性说明，以及书面说明是否采纳等判断不一致的，按照“少数服从多数”的原则确定评审委员会的意见</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25. 投标文件的澄清</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25.1  为了有助于对投标文件进行审查、评估和比较，</w:t>
      </w:r>
      <w:r>
        <w:rPr>
          <w:rFonts w:hint="eastAsia" w:cs="仿宋" w:asciiTheme="minorEastAsia" w:hAnsiTheme="minorEastAsia" w:eastAsiaTheme="minorEastAsia"/>
          <w:bCs/>
          <w:snapToGrid w:val="0"/>
          <w:kern w:val="0"/>
          <w:szCs w:val="21"/>
        </w:rPr>
        <w:t>评审委员会</w:t>
      </w:r>
      <w:r>
        <w:rPr>
          <w:rFonts w:hint="eastAsia" w:cs="仿宋" w:asciiTheme="minorEastAsia" w:hAnsiTheme="minorEastAsia" w:eastAsiaTheme="minorEastAsia"/>
          <w:snapToGrid w:val="0"/>
          <w:kern w:val="0"/>
          <w:szCs w:val="21"/>
        </w:rPr>
        <w:t>有权向投标供应商提出质疑，并请投标供应商澄清其投标内容。投标供应商有责任，按照采购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通知的时间、地点，指派专人进行答疑和澄清。</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25.2  澄清、答复应是书面的，但不得对投标内容进行实质性修改。</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26. 评审方法和详细评审</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26.1 评委会将按照本须知第24条规定只对确定为实质上投标的投标文件进行评价和比较。</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26.2 评审的基础应是本须知第12条规定的投标报价。</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26.3 评审委员会将对低于成本价格的投标作无效投标处理。</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26.4 评委会在评审时，应按照评审信息量化的评审因素，对各投标文件进行分析和评审。</w:t>
      </w:r>
    </w:p>
    <w:p>
      <w:pPr>
        <w:adjustRightInd w:val="0"/>
        <w:spacing w:line="360" w:lineRule="auto"/>
        <w:rPr>
          <w:rFonts w:cs="仿宋" w:asciiTheme="minorEastAsia" w:hAnsiTheme="minorEastAsia" w:eastAsiaTheme="minorEastAsia"/>
          <w:szCs w:val="21"/>
        </w:rPr>
      </w:pPr>
      <w:bookmarkStart w:id="11" w:name="q9"/>
      <w:bookmarkEnd w:id="11"/>
      <w:r>
        <w:rPr>
          <w:rFonts w:hint="eastAsia" w:cs="仿宋" w:asciiTheme="minorEastAsia" w:hAnsiTheme="minorEastAsia" w:eastAsiaTheme="minorEastAsia"/>
          <w:snapToGrid w:val="0"/>
          <w:kern w:val="0"/>
          <w:szCs w:val="21"/>
        </w:rPr>
        <w:t>26.4.2</w:t>
      </w:r>
      <w:r>
        <w:rPr>
          <w:rFonts w:hint="eastAsia" w:cs="仿宋" w:asciiTheme="minorEastAsia" w:hAnsiTheme="minorEastAsia" w:eastAsiaTheme="minorEastAsia"/>
          <w:szCs w:val="21"/>
        </w:rPr>
        <w:t>本项目涉及提供的有关资质证书，若原有资质证书处于年审期间，须提供证书颁发部门提供的回执，并且回执须证明该证书依然有效（若在法规范围不需提供的，投标供应商应做书面说明并提供证明文件，否则该证书无效），则该投标供应商提供年审证明的可按原资质投标；若投标供应商正在申报上一级别资质，在未获批准之前，仍按原级别资质投标。</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26.5综合以上分析比较按前附表第13项所述的评审方法，评委会将按照征集文件规定的各项因素对各投标文件进行量化打分并加权汇总，对各评委的总评分取算术平均值确定该投标供应商的评审总得分(精确至小数点后二位)，评审总得分最高者将被推荐为中标供应商，并作出评审结论。若得分相同的，按投标报价由低到高顺序排列；得分且投标报价相同的，按技术服务优劣顺序（即技术分由高到低排序）排列。</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26.5.1公开征集采购方式说明：因有效投标供应商不足三家而致公开征集、公开竞价失败的，采购单位可结合实际需要，重新实施采购或依据有效投标供应商数量，在评标现场即转为邀请竞标或直接采购。</w:t>
      </w:r>
    </w:p>
    <w:p>
      <w:pPr>
        <w:pStyle w:val="17"/>
        <w:spacing w:after="0" w:line="360" w:lineRule="auto"/>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邀请竞标</w:t>
      </w:r>
      <w:r>
        <w:rPr>
          <w:rFonts w:hint="eastAsia" w:cs="仿宋" w:asciiTheme="minorEastAsia" w:hAnsiTheme="minorEastAsia" w:eastAsiaTheme="minorEastAsia"/>
          <w:snapToGrid w:val="0"/>
          <w:kern w:val="0"/>
          <w:szCs w:val="21"/>
        </w:rPr>
        <w:t>采购方式说明</w:t>
      </w:r>
      <w:r>
        <w:rPr>
          <w:rFonts w:hint="eastAsia" w:cs="仿宋" w:asciiTheme="minorEastAsia" w:hAnsiTheme="minorEastAsia" w:eastAsiaTheme="minorEastAsia"/>
        </w:rPr>
        <w:t>：是指在社会招标代理机构服务（或政府集中采购机构）平台发布采购需求信息，邀请特定范围内2家以上供应商参加投标，按最低价中标原则确定成交供应商，或由社会招标代理机构组织采购单位代表、评审专家成立评审组评审并确定中标供应商的采购方式。</w:t>
      </w:r>
    </w:p>
    <w:p>
      <w:pPr>
        <w:pStyle w:val="17"/>
        <w:spacing w:after="0" w:line="360" w:lineRule="auto"/>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snapToGrid w:val="0"/>
          <w:kern w:val="0"/>
          <w:szCs w:val="21"/>
        </w:rPr>
        <w:t>直接采购采购方式说明：是指经批准由采购单位自行与唯一供应商通过谈判确定成交的采购方式。</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26.6评审报告是评审委员会根据全体评审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在案。</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27. 保密及其它注意事项</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27.1  评审是采购工作的重要环节，评审工作在评委会内独立进行。评委会将遵照评审原则，公正、平等地对待所有投标供应商。</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27.2  评审期间，评委会将对投标文件中有关问题分别向投标供应商进行询问。各投标供应商应予以认真答复。重要或复杂问题的答复需以书面形式，并经法定代表人或授权人签署。澄清文件将作为投标文件的组成部份。</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27.3  在开标、投标期间，投标供应商不得向评委询问评审情况，不得进行旨在影响评审结果的活动。</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27.4  为保证定标的公正性，在评审过程中，评委不得与投标供应商私下交换意见。在采购工作结束后，凡与评审情况有接触的任何人，不得也不应将评审情况扩散出评委人员之外。</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27.5  评委会不向落标方解释落标原因，不退还投标文件。</w:t>
      </w:r>
    </w:p>
    <w:p>
      <w:pPr>
        <w:rPr>
          <w:rFonts w:cs="仿宋" w:asciiTheme="minorEastAsia" w:hAnsiTheme="minorEastAsia" w:eastAsiaTheme="minorEastAsia"/>
        </w:rPr>
      </w:pPr>
    </w:p>
    <w:p>
      <w:pPr>
        <w:adjustRightInd w:val="0"/>
        <w:spacing w:line="360" w:lineRule="auto"/>
        <w:jc w:val="center"/>
        <w:rPr>
          <w:rFonts w:cs="仿宋" w:asciiTheme="minorEastAsia" w:hAnsiTheme="minorEastAsia" w:eastAsiaTheme="minorEastAsia"/>
          <w:b/>
          <w:snapToGrid w:val="0"/>
          <w:kern w:val="0"/>
          <w:sz w:val="32"/>
          <w:szCs w:val="32"/>
        </w:rPr>
      </w:pPr>
      <w:r>
        <w:rPr>
          <w:rFonts w:hint="eastAsia" w:cs="仿宋" w:asciiTheme="minorEastAsia" w:hAnsiTheme="minorEastAsia" w:eastAsiaTheme="minorEastAsia"/>
          <w:b/>
          <w:snapToGrid w:val="0"/>
          <w:kern w:val="0"/>
          <w:sz w:val="32"/>
          <w:szCs w:val="32"/>
        </w:rPr>
        <w:t>Ｆ　　授予合同</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28．合同授予标准</w:t>
      </w:r>
    </w:p>
    <w:p>
      <w:pPr>
        <w:tabs>
          <w:tab w:val="left" w:pos="5688"/>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    本项目采购合同授予本须知26.5款所确定的中标供应商。</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29. 中标通知</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29.1  采购机构在发出《中标通知书》之前，将中标结果通过政府采购指定网站进行公示。中标结果公示期满无异议或者异议不成立的，采购机构将发出《中标通知书》。《中标通知书》一经发出即发生法律效力。 </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29.2 《中标通知书》将作为签订合同的重要依据。</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29.3  中标方向采购代理机构支付采购代理服务费后，采购代理机构发出《中标通知书》。</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30. 授予合同时变更数量的权力</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30.1  </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在签订合同时，有权对征集文件中列明的货物或服务的数量，在法定范围内，依法定程序予以增加或减少。</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31. 签订合同</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31.1  中标方应按《中标通知书》或按</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指定的时间、地点与</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签订合同。</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31.2  征集文件、中标方的投标文件及其澄清文件等，均为签订合同的依据。</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32.  履约保证金</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32.1  中标供应商须按征集文件的规定或根据合同的规定向</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提交履约保证金。</w:t>
      </w:r>
    </w:p>
    <w:p>
      <w:pPr>
        <w:adjustRightInd w:val="0"/>
        <w:spacing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33. 采购代理服务费</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33.1  采购代理服务费按前附表第14项所述，最低收取人民币5000元。</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33.2  采购代理服务费金额按下列方法计算：</w:t>
      </w:r>
    </w:p>
    <w:tbl>
      <w:tblPr>
        <w:tblStyle w:val="18"/>
        <w:tblW w:w="0" w:type="auto"/>
        <w:tblInd w:w="64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31"/>
        <w:gridCol w:w="1661"/>
        <w:gridCol w:w="1661"/>
        <w:gridCol w:w="166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5" w:hRule="atLeast"/>
        </w:trPr>
        <w:tc>
          <w:tcPr>
            <w:tcW w:w="2131" w:type="dxa"/>
          </w:tcPr>
          <w:p>
            <w:pPr>
              <w:spacing w:line="360" w:lineRule="auto"/>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mc:AlternateContent>
                <mc:Choice Requires="wps">
                  <w:drawing>
                    <wp:anchor distT="0" distB="0" distL="114300" distR="114300" simplePos="0" relativeHeight="251678720" behindDoc="0" locked="0" layoutInCell="1" allowOverlap="1">
                      <wp:simplePos x="0" y="0"/>
                      <wp:positionH relativeFrom="column">
                        <wp:posOffset>716280</wp:posOffset>
                      </wp:positionH>
                      <wp:positionV relativeFrom="paragraph">
                        <wp:posOffset>552450</wp:posOffset>
                      </wp:positionV>
                      <wp:extent cx="54610" cy="119380"/>
                      <wp:effectExtent l="0" t="0" r="0" b="0"/>
                      <wp:wrapNone/>
                      <wp:docPr id="21" name="__TH_B3733"/>
                      <wp:cNvGraphicFramePr/>
                      <a:graphic xmlns:a="http://schemas.openxmlformats.org/drawingml/2006/main">
                        <a:graphicData uri="http://schemas.microsoft.com/office/word/2010/wordprocessingShape">
                          <wps:wsp>
                            <wps:cNvSpPr txBox="1"/>
                            <wps:spPr>
                              <a:xfrm>
                                <a:off x="0" y="0"/>
                                <a:ext cx="54610" cy="119380"/>
                              </a:xfrm>
                              <a:prstGeom prst="rect">
                                <a:avLst/>
                              </a:prstGeom>
                              <a:noFill/>
                              <a:ln>
                                <a:noFill/>
                              </a:ln>
                              <a:effectLst/>
                            </wps:spPr>
                            <wps:txbx>
                              <w:txbxContent>
                                <w:p>
                                  <w:pPr>
                                    <w:snapToGrid w:val="0"/>
                                    <w:rPr>
                                      <w:sz w:val="15"/>
                                    </w:rPr>
                                  </w:pPr>
                                  <w:r>
                                    <w:rPr>
                                      <w:rFonts w:hint="eastAsia"/>
                                      <w:sz w:val="15"/>
                                    </w:rPr>
                                    <w:t>元</w:t>
                                  </w:r>
                                </w:p>
                              </w:txbxContent>
                            </wps:txbx>
                            <wps:bodyPr lIns="0" tIns="0" rIns="0" bIns="0" upright="1"/>
                          </wps:wsp>
                        </a:graphicData>
                      </a:graphic>
                    </wp:anchor>
                  </w:drawing>
                </mc:Choice>
                <mc:Fallback>
                  <w:pict>
                    <v:shape id="__TH_B3733" o:spid="_x0000_s1026" o:spt="202" type="#_x0000_t202" style="position:absolute;left:0pt;margin-left:56.4pt;margin-top:43.5pt;height:9.4pt;width:4.3pt;z-index:251678720;mso-width-relative:page;mso-height-relative:page;" filled="f" stroked="f" coordsize="21600,21600" o:gfxdata="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8wITS9gAAAAKAQAADwAAAAAAAAABACAAAAAiAAAAZHJzL2Rvd25yZXYueG1sUEsBAhQAFAAAAAgA&#10;h07iQJm2vgCzAQAAfgMAAA4AAAAAAAAAAQAgAAAAJwEAAGRycy9lMm9Eb2MueG1sUEsFBgAAAAAG&#10;AAYAWQEAAEwFAAAAAA==&#10;">
                      <v:fill on="f" focussize="0,0"/>
                      <v:stroke on="f"/>
                      <v:imagedata o:title=""/>
                      <o:lock v:ext="edit" aspectratio="f"/>
                      <v:textbox inset="0mm,0mm,0mm,0mm">
                        <w:txbxContent>
                          <w:p>
                            <w:pPr>
                              <w:snapToGrid w:val="0"/>
                              <w:rPr>
                                <w:sz w:val="15"/>
                              </w:rPr>
                            </w:pPr>
                            <w:r>
                              <w:rPr>
                                <w:rFonts w:hint="eastAsia"/>
                                <w:sz w:val="15"/>
                              </w:rPr>
                              <w:t>元</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7696" behindDoc="0" locked="0" layoutInCell="1" allowOverlap="1">
                      <wp:simplePos x="0" y="0"/>
                      <wp:positionH relativeFrom="column">
                        <wp:posOffset>565785</wp:posOffset>
                      </wp:positionH>
                      <wp:positionV relativeFrom="paragraph">
                        <wp:posOffset>537845</wp:posOffset>
                      </wp:positionV>
                      <wp:extent cx="125095" cy="119380"/>
                      <wp:effectExtent l="0" t="0" r="0" b="0"/>
                      <wp:wrapNone/>
                      <wp:docPr id="20" name="__TH_B3632"/>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pPr>
                                    <w:snapToGrid w:val="0"/>
                                    <w:rPr>
                                      <w:sz w:val="15"/>
                                    </w:rPr>
                                  </w:pPr>
                                  <w:r>
                                    <w:rPr>
                                      <w:rFonts w:hint="eastAsia"/>
                                      <w:sz w:val="15"/>
                                    </w:rPr>
                                    <w:t>万</w:t>
                                  </w:r>
                                </w:p>
                              </w:txbxContent>
                            </wps:txbx>
                            <wps:bodyPr lIns="0" tIns="0" rIns="0" bIns="0" upright="1"/>
                          </wps:wsp>
                        </a:graphicData>
                      </a:graphic>
                    </wp:anchor>
                  </w:drawing>
                </mc:Choice>
                <mc:Fallback>
                  <w:pict>
                    <v:shape id="__TH_B3632" o:spid="_x0000_s1026" o:spt="202" type="#_x0000_t202" style="position:absolute;left:0pt;margin-left:44.55pt;margin-top:42.35pt;height:9.4pt;width:9.85pt;z-index:251677696;mso-width-relative:page;mso-height-relative:page;" filled="f" stroked="f" coordsize="21600,21600" o:gfxdata="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aAzudcAAAAJAQAADwAAAAAAAAABACAAAAAiAAAAZHJzL2Rvd25yZXYueG1sUEsBAhQAFAAAAAgA&#10;h07iQGvaa9i0AQAAfwMAAA4AAAAAAAAAAQAgAAAAJgEAAGRycy9lMm9Eb2MueG1sUEsFBgAAAAAG&#10;AAYAWQEAAEwFAAAAAA==&#10;">
                      <v:fill on="f" focussize="0,0"/>
                      <v:stroke on="f"/>
                      <v:imagedata o:title=""/>
                      <o:lock v:ext="edit" aspectratio="f"/>
                      <v:textbox inset="0mm,0mm,0mm,0mm">
                        <w:txbxContent>
                          <w:p>
                            <w:pPr>
                              <w:snapToGrid w:val="0"/>
                              <w:rPr>
                                <w:sz w:val="15"/>
                              </w:rPr>
                            </w:pPr>
                            <w:r>
                              <w:rPr>
                                <w:rFonts w:hint="eastAsia"/>
                                <w:sz w:val="15"/>
                              </w:rPr>
                              <w:t>万</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6672" behindDoc="0" locked="0" layoutInCell="1" allowOverlap="1">
                      <wp:simplePos x="0" y="0"/>
                      <wp:positionH relativeFrom="column">
                        <wp:posOffset>488315</wp:posOffset>
                      </wp:positionH>
                      <wp:positionV relativeFrom="paragraph">
                        <wp:posOffset>523240</wp:posOffset>
                      </wp:positionV>
                      <wp:extent cx="49530" cy="119380"/>
                      <wp:effectExtent l="0" t="0" r="0" b="0"/>
                      <wp:wrapNone/>
                      <wp:docPr id="19" name="__TH_B3531"/>
                      <wp:cNvGraphicFramePr/>
                      <a:graphic xmlns:a="http://schemas.openxmlformats.org/drawingml/2006/main">
                        <a:graphicData uri="http://schemas.microsoft.com/office/word/2010/wordprocessingShape">
                          <wps:wsp>
                            <wps:cNvSpPr txBox="1"/>
                            <wps:spPr>
                              <a:xfrm>
                                <a:off x="0" y="0"/>
                                <a:ext cx="49530" cy="119380"/>
                              </a:xfrm>
                              <a:prstGeom prst="rect">
                                <a:avLst/>
                              </a:prstGeom>
                              <a:noFill/>
                              <a:ln>
                                <a:noFill/>
                              </a:ln>
                              <a:effectLst/>
                            </wps:spPr>
                            <wps:txbx>
                              <w:txbxContent>
                                <w:p>
                                  <w:pPr>
                                    <w:snapToGrid w:val="0"/>
                                    <w:rPr>
                                      <w:sz w:val="15"/>
                                    </w:rPr>
                                  </w:pPr>
                                  <w:r>
                                    <w:rPr>
                                      <w:sz w:val="15"/>
                                    </w:rPr>
                                    <w:t>(</w:t>
                                  </w:r>
                                </w:p>
                              </w:txbxContent>
                            </wps:txbx>
                            <wps:bodyPr lIns="0" tIns="0" rIns="0" bIns="0" upright="1"/>
                          </wps:wsp>
                        </a:graphicData>
                      </a:graphic>
                    </wp:anchor>
                  </w:drawing>
                </mc:Choice>
                <mc:Fallback>
                  <w:pict>
                    <v:shape id="__TH_B3531" o:spid="_x0000_s1026" o:spt="202" type="#_x0000_t202" style="position:absolute;left:0pt;margin-left:38.45pt;margin-top:41.2pt;height:9.4pt;width:3.9pt;z-index:251676672;mso-width-relative:page;mso-height-relative:page;" filled="f" stroked="f" coordsize="21600,21600" o:gfxdata="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5ldetgAAAAIAQAADwAAAAAAAAABACAAAAAiAAAAZHJzL2Rvd25yZXYueG1sUEsBAhQAFAAAAAgA&#10;h07iQMLr2VyzAQAAfgMAAA4AAAAAAAAAAQAgAAAAJwEAAGRycy9lMm9Eb2MueG1sUEsFBgAAAAAG&#10;AAYAWQEAAEwFAAAAAA==&#10;">
                      <v:fill on="f" focussize="0,0"/>
                      <v:stroke on="f"/>
                      <v:imagedata o:title=""/>
                      <o:lock v:ext="edit" aspectratio="f"/>
                      <v:textbox inset="0mm,0mm,0mm,0mm">
                        <w:txbxContent>
                          <w:p>
                            <w:pPr>
                              <w:snapToGrid w:val="0"/>
                              <w:rPr>
                                <w:sz w:val="15"/>
                              </w:rPr>
                            </w:pPr>
                            <w:r>
                              <w:rPr>
                                <w:sz w:val="15"/>
                              </w:rPr>
                              <w:t>(</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5648" behindDoc="0" locked="0" layoutInCell="1" allowOverlap="1">
                      <wp:simplePos x="0" y="0"/>
                      <wp:positionH relativeFrom="column">
                        <wp:posOffset>334645</wp:posOffset>
                      </wp:positionH>
                      <wp:positionV relativeFrom="paragraph">
                        <wp:posOffset>508635</wp:posOffset>
                      </wp:positionV>
                      <wp:extent cx="125730" cy="119380"/>
                      <wp:effectExtent l="0" t="0" r="0" b="0"/>
                      <wp:wrapNone/>
                      <wp:docPr id="18" name="__TH_B3430"/>
                      <wp:cNvGraphicFramePr/>
                      <a:graphic xmlns:a="http://schemas.openxmlformats.org/drawingml/2006/main">
                        <a:graphicData uri="http://schemas.microsoft.com/office/word/2010/wordprocessingShape">
                          <wps:wsp>
                            <wps:cNvSpPr txBox="1"/>
                            <wps:spPr>
                              <a:xfrm>
                                <a:off x="0" y="0"/>
                                <a:ext cx="125730" cy="119380"/>
                              </a:xfrm>
                              <a:prstGeom prst="rect">
                                <a:avLst/>
                              </a:prstGeom>
                              <a:noFill/>
                              <a:ln>
                                <a:noFill/>
                              </a:ln>
                              <a:effectLst/>
                            </wps:spPr>
                            <wps:txbx>
                              <w:txbxContent>
                                <w:p>
                                  <w:pPr>
                                    <w:snapToGrid w:val="0"/>
                                    <w:rPr>
                                      <w:sz w:val="15"/>
                                    </w:rPr>
                                  </w:pPr>
                                  <w:r>
                                    <w:rPr>
                                      <w:rFonts w:hint="eastAsia"/>
                                      <w:sz w:val="15"/>
                                    </w:rPr>
                                    <w:t>额</w:t>
                                  </w:r>
                                </w:p>
                              </w:txbxContent>
                            </wps:txbx>
                            <wps:bodyPr lIns="0" tIns="0" rIns="0" bIns="0" upright="1"/>
                          </wps:wsp>
                        </a:graphicData>
                      </a:graphic>
                    </wp:anchor>
                  </w:drawing>
                </mc:Choice>
                <mc:Fallback>
                  <w:pict>
                    <v:shape id="__TH_B3430" o:spid="_x0000_s1026" o:spt="202" type="#_x0000_t202" style="position:absolute;left:0pt;margin-left:26.35pt;margin-top:40.05pt;height:9.4pt;width:9.9pt;z-index:251675648;mso-width-relative:page;mso-height-relative:page;" filled="f" stroked="f" coordsize="21600,21600" o:gfxdata="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WpI&#10;cdcAAAAHAQAADwAAAAAAAAABACAAAAAiAAAAZHJzL2Rvd25yZXYueG1sUEsBAhQAFAAAAAgAh07i&#10;QG7wi5WxAQAAfwMAAA4AAAAAAAAAAQAgAAAAJgEAAGRycy9lMm9Eb2MueG1sUEsFBgAAAAAGAAYA&#10;WQEAAEkFAAAAAA==&#10;">
                      <v:fill on="f" focussize="0,0"/>
                      <v:stroke on="f"/>
                      <v:imagedata o:title=""/>
                      <o:lock v:ext="edit" aspectratio="f"/>
                      <v:textbox inset="0mm,0mm,0mm,0mm">
                        <w:txbxContent>
                          <w:p>
                            <w:pPr>
                              <w:snapToGrid w:val="0"/>
                              <w:rPr>
                                <w:sz w:val="15"/>
                              </w:rPr>
                            </w:pPr>
                            <w:r>
                              <w:rPr>
                                <w:rFonts w:hint="eastAsia"/>
                                <w:sz w:val="15"/>
                              </w:rPr>
                              <w:t>额</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4624" behindDoc="0" locked="0" layoutInCell="1" allowOverlap="1">
                      <wp:simplePos x="0" y="0"/>
                      <wp:positionH relativeFrom="column">
                        <wp:posOffset>219710</wp:posOffset>
                      </wp:positionH>
                      <wp:positionV relativeFrom="paragraph">
                        <wp:posOffset>494030</wp:posOffset>
                      </wp:positionV>
                      <wp:extent cx="125095" cy="119380"/>
                      <wp:effectExtent l="0" t="0" r="0" b="0"/>
                      <wp:wrapNone/>
                      <wp:docPr id="17" name="__TH_B3329"/>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pPr>
                                    <w:snapToGrid w:val="0"/>
                                    <w:rPr>
                                      <w:sz w:val="15"/>
                                    </w:rPr>
                                  </w:pPr>
                                  <w:r>
                                    <w:rPr>
                                      <w:rFonts w:hint="eastAsia"/>
                                      <w:sz w:val="15"/>
                                    </w:rPr>
                                    <w:t>金</w:t>
                                  </w:r>
                                </w:p>
                              </w:txbxContent>
                            </wps:txbx>
                            <wps:bodyPr lIns="0" tIns="0" rIns="0" bIns="0" upright="1"/>
                          </wps:wsp>
                        </a:graphicData>
                      </a:graphic>
                    </wp:anchor>
                  </w:drawing>
                </mc:Choice>
                <mc:Fallback>
                  <w:pict>
                    <v:shape id="__TH_B3329" o:spid="_x0000_s1026" o:spt="202" type="#_x0000_t202" style="position:absolute;left:0pt;margin-left:17.3pt;margin-top:38.9pt;height:9.4pt;width:9.85pt;z-index:251674624;mso-width-relative:page;mso-height-relative:page;" filled="f" stroked="f" coordsize="21600,21600" o:gfxdata="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rZ1PIdcAAAAHAQAADwAAAAAAAAABACAAAAAiAAAAZHJzL2Rvd25yZXYueG1sUEsBAhQAFAAAAAgA&#10;h07iQMaPxSy0AQAAfwMAAA4AAAAAAAAAAQAgAAAAJgEAAGRycy9lMm9Eb2MueG1sUEsFBgAAAAAG&#10;AAYAWQEAAEwFAAAAAA==&#10;">
                      <v:fill on="f" focussize="0,0"/>
                      <v:stroke on="f"/>
                      <v:imagedata o:title=""/>
                      <o:lock v:ext="edit" aspectratio="f"/>
                      <v:textbox inset="0mm,0mm,0mm,0mm">
                        <w:txbxContent>
                          <w:p>
                            <w:pPr>
                              <w:snapToGrid w:val="0"/>
                              <w:rPr>
                                <w:sz w:val="15"/>
                              </w:rPr>
                            </w:pPr>
                            <w:r>
                              <w:rPr>
                                <w:rFonts w:hint="eastAsia"/>
                                <w:sz w:val="15"/>
                              </w:rPr>
                              <w:t>金</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3600" behindDoc="0" locked="0" layoutInCell="1" allowOverlap="1">
                      <wp:simplePos x="0" y="0"/>
                      <wp:positionH relativeFrom="column">
                        <wp:posOffset>104140</wp:posOffset>
                      </wp:positionH>
                      <wp:positionV relativeFrom="paragraph">
                        <wp:posOffset>479425</wp:posOffset>
                      </wp:positionV>
                      <wp:extent cx="125730" cy="119380"/>
                      <wp:effectExtent l="0" t="0" r="0" b="0"/>
                      <wp:wrapNone/>
                      <wp:docPr id="16" name="__TH_B3228"/>
                      <wp:cNvGraphicFramePr/>
                      <a:graphic xmlns:a="http://schemas.openxmlformats.org/drawingml/2006/main">
                        <a:graphicData uri="http://schemas.microsoft.com/office/word/2010/wordprocessingShape">
                          <wps:wsp>
                            <wps:cNvSpPr txBox="1"/>
                            <wps:spPr>
                              <a:xfrm>
                                <a:off x="0" y="0"/>
                                <a:ext cx="125730" cy="119380"/>
                              </a:xfrm>
                              <a:prstGeom prst="rect">
                                <a:avLst/>
                              </a:prstGeom>
                              <a:noFill/>
                              <a:ln>
                                <a:noFill/>
                              </a:ln>
                              <a:effectLst/>
                            </wps:spPr>
                            <wps:txbx>
                              <w:txbxContent>
                                <w:p>
                                  <w:pPr>
                                    <w:snapToGrid w:val="0"/>
                                    <w:rPr>
                                      <w:sz w:val="15"/>
                                    </w:rPr>
                                  </w:pPr>
                                  <w:r>
                                    <w:rPr>
                                      <w:rFonts w:hint="eastAsia"/>
                                      <w:sz w:val="15"/>
                                    </w:rPr>
                                    <w:t>标</w:t>
                                  </w:r>
                                </w:p>
                              </w:txbxContent>
                            </wps:txbx>
                            <wps:bodyPr lIns="0" tIns="0" rIns="0" bIns="0" upright="1"/>
                          </wps:wsp>
                        </a:graphicData>
                      </a:graphic>
                    </wp:anchor>
                  </w:drawing>
                </mc:Choice>
                <mc:Fallback>
                  <w:pict>
                    <v:shape id="__TH_B3228" o:spid="_x0000_s1026" o:spt="202" type="#_x0000_t202" style="position:absolute;left:0pt;margin-left:8.2pt;margin-top:37.75pt;height:9.4pt;width:9.9pt;z-index:251673600;mso-width-relative:page;mso-height-relative:page;" filled="f" stroked="f" coordsize="21600,21600" o:gfxdata="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bW&#10;dhPWAAAABwEAAA8AAAAAAAAAAQAgAAAAIgAAAGRycy9kb3ducmV2LnhtbFBLAQIUABQAAAAIAIdO&#10;4kCDMVvyswEAAH8DAAAOAAAAAAAAAAEAIAAAACUBAABkcnMvZTJvRG9jLnhtbFBLBQYAAAAABgAG&#10;AFkBAABKBQAAAAA=&#10;">
                      <v:fill on="f" focussize="0,0"/>
                      <v:stroke on="f"/>
                      <v:imagedata o:title=""/>
                      <o:lock v:ext="edit" aspectratio="f"/>
                      <v:textbox inset="0mm,0mm,0mm,0mm">
                        <w:txbxContent>
                          <w:p>
                            <w:pPr>
                              <w:snapToGrid w:val="0"/>
                              <w:rPr>
                                <w:sz w:val="15"/>
                              </w:rPr>
                            </w:pPr>
                            <w:r>
                              <w:rPr>
                                <w:rFonts w:hint="eastAsia"/>
                                <w:sz w:val="15"/>
                              </w:rPr>
                              <w:t>标</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2576" behindDoc="0" locked="0" layoutInCell="1" allowOverlap="1">
                      <wp:simplePos x="0" y="0"/>
                      <wp:positionH relativeFrom="column">
                        <wp:posOffset>-10795</wp:posOffset>
                      </wp:positionH>
                      <wp:positionV relativeFrom="paragraph">
                        <wp:posOffset>464820</wp:posOffset>
                      </wp:positionV>
                      <wp:extent cx="125095" cy="119380"/>
                      <wp:effectExtent l="0" t="0" r="0" b="0"/>
                      <wp:wrapNone/>
                      <wp:docPr id="15" name="__TH_B3127"/>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pPr>
                                    <w:snapToGrid w:val="0"/>
                                    <w:rPr>
                                      <w:sz w:val="15"/>
                                    </w:rPr>
                                  </w:pPr>
                                  <w:r>
                                    <w:rPr>
                                      <w:rFonts w:hint="eastAsia"/>
                                      <w:sz w:val="15"/>
                                    </w:rPr>
                                    <w:t>中</w:t>
                                  </w:r>
                                </w:p>
                              </w:txbxContent>
                            </wps:txbx>
                            <wps:bodyPr lIns="0" tIns="0" rIns="0" bIns="0" upright="1"/>
                          </wps:wsp>
                        </a:graphicData>
                      </a:graphic>
                    </wp:anchor>
                  </w:drawing>
                </mc:Choice>
                <mc:Fallback>
                  <w:pict>
                    <v:shape id="__TH_B3127" o:spid="_x0000_s1026" o:spt="202" type="#_x0000_t202" style="position:absolute;left:0pt;margin-left:-0.85pt;margin-top:36.6pt;height:9.4pt;width:9.85pt;z-index:251672576;mso-width-relative:page;mso-height-relative:page;" filled="f" stroked="f" coordsize="21600,21600" o:gfxdata="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4&#10;3oM01gAAAAcBAAAPAAAAAAAAAAEAIAAAACIAAABkcnMvZG93bnJldi54bWxQSwECFAAUAAAACACH&#10;TuJAyIB77rQBAAB/AwAADgAAAAAAAAABACAAAAAlAQAAZHJzL2Uyb0RvYy54bWxQSwUGAAAAAAYA&#10;BgBZAQAASwUAAAAA&#10;">
                      <v:fill on="f" focussize="0,0"/>
                      <v:stroke on="f"/>
                      <v:imagedata o:title=""/>
                      <o:lock v:ext="edit" aspectratio="f"/>
                      <v:textbox inset="0mm,0mm,0mm,0mm">
                        <w:txbxContent>
                          <w:p>
                            <w:pPr>
                              <w:snapToGrid w:val="0"/>
                              <w:rPr>
                                <w:sz w:val="15"/>
                              </w:rPr>
                            </w:pPr>
                            <w:r>
                              <w:rPr>
                                <w:rFonts w:hint="eastAsia"/>
                                <w:sz w:val="15"/>
                              </w:rPr>
                              <w:t>中</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1552" behindDoc="0" locked="0" layoutInCell="1" allowOverlap="1">
                      <wp:simplePos x="0" y="0"/>
                      <wp:positionH relativeFrom="column">
                        <wp:posOffset>805180</wp:posOffset>
                      </wp:positionH>
                      <wp:positionV relativeFrom="paragraph">
                        <wp:posOffset>407035</wp:posOffset>
                      </wp:positionV>
                      <wp:extent cx="125095" cy="118745"/>
                      <wp:effectExtent l="0" t="0" r="0" b="0"/>
                      <wp:wrapNone/>
                      <wp:docPr id="14" name="__TH_B2226"/>
                      <wp:cNvGraphicFramePr/>
                      <a:graphic xmlns:a="http://schemas.openxmlformats.org/drawingml/2006/main">
                        <a:graphicData uri="http://schemas.microsoft.com/office/word/2010/wordprocessingShape">
                          <wps:wsp>
                            <wps:cNvSpPr txBox="1"/>
                            <wps:spPr>
                              <a:xfrm>
                                <a:off x="0" y="0"/>
                                <a:ext cx="125095" cy="118745"/>
                              </a:xfrm>
                              <a:prstGeom prst="rect">
                                <a:avLst/>
                              </a:prstGeom>
                              <a:noFill/>
                              <a:ln>
                                <a:noFill/>
                              </a:ln>
                              <a:effectLst/>
                            </wps:spPr>
                            <wps:txbx>
                              <w:txbxContent>
                                <w:p>
                                  <w:pPr>
                                    <w:snapToGrid w:val="0"/>
                                    <w:rPr>
                                      <w:sz w:val="15"/>
                                    </w:rPr>
                                  </w:pPr>
                                  <w:r>
                                    <w:rPr>
                                      <w:rFonts w:hint="eastAsia"/>
                                      <w:sz w:val="15"/>
                                    </w:rPr>
                                    <w:t>率</w:t>
                                  </w:r>
                                </w:p>
                              </w:txbxContent>
                            </wps:txbx>
                            <wps:bodyPr lIns="0" tIns="0" rIns="0" bIns="0" upright="1"/>
                          </wps:wsp>
                        </a:graphicData>
                      </a:graphic>
                    </wp:anchor>
                  </w:drawing>
                </mc:Choice>
                <mc:Fallback>
                  <w:pict>
                    <v:shape id="__TH_B2226" o:spid="_x0000_s1026" o:spt="202" type="#_x0000_t202" style="position:absolute;left:0pt;margin-left:63.4pt;margin-top:32.05pt;height:9.35pt;width:9.85pt;z-index:251671552;mso-width-relative:page;mso-height-relative:page;" filled="f" stroked="f" coordsize="21600,21600" o:gfxdata="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F&#10;rSrU1wAAAAkBAAAPAAAAAAAAAAEAIAAAACIAAABkcnMvZG93bnJldi54bWxQSwECFAAUAAAACACH&#10;TuJA6A0babMBAAB/AwAADgAAAAAAAAABACAAAAAmAQAAZHJzL2Uyb0RvYy54bWxQSwUGAAAAAAYA&#10;BgBZAQAASwUAAAAA&#10;">
                      <v:fill on="f" focussize="0,0"/>
                      <v:stroke on="f"/>
                      <v:imagedata o:title=""/>
                      <o:lock v:ext="edit" aspectratio="f"/>
                      <v:textbox inset="0mm,0mm,0mm,0mm">
                        <w:txbxContent>
                          <w:p>
                            <w:pPr>
                              <w:snapToGrid w:val="0"/>
                              <w:rPr>
                                <w:sz w:val="15"/>
                              </w:rPr>
                            </w:pPr>
                            <w:r>
                              <w:rPr>
                                <w:rFonts w:hint="eastAsia"/>
                                <w:sz w:val="15"/>
                              </w:rPr>
                              <w:t>率</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0528" behindDoc="0" locked="0" layoutInCell="1" allowOverlap="1">
                      <wp:simplePos x="0" y="0"/>
                      <wp:positionH relativeFrom="column">
                        <wp:posOffset>253365</wp:posOffset>
                      </wp:positionH>
                      <wp:positionV relativeFrom="paragraph">
                        <wp:posOffset>127635</wp:posOffset>
                      </wp:positionV>
                      <wp:extent cx="125730" cy="119380"/>
                      <wp:effectExtent l="0" t="0" r="0" b="0"/>
                      <wp:wrapNone/>
                      <wp:docPr id="13" name="__TH_B2125"/>
                      <wp:cNvGraphicFramePr/>
                      <a:graphic xmlns:a="http://schemas.openxmlformats.org/drawingml/2006/main">
                        <a:graphicData uri="http://schemas.microsoft.com/office/word/2010/wordprocessingShape">
                          <wps:wsp>
                            <wps:cNvSpPr txBox="1"/>
                            <wps:spPr>
                              <a:xfrm>
                                <a:off x="0" y="0"/>
                                <a:ext cx="125730" cy="119380"/>
                              </a:xfrm>
                              <a:prstGeom prst="rect">
                                <a:avLst/>
                              </a:prstGeom>
                              <a:noFill/>
                              <a:ln>
                                <a:noFill/>
                              </a:ln>
                              <a:effectLst/>
                            </wps:spPr>
                            <wps:txbx>
                              <w:txbxContent>
                                <w:p>
                                  <w:pPr>
                                    <w:snapToGrid w:val="0"/>
                                    <w:rPr>
                                      <w:sz w:val="15"/>
                                    </w:rPr>
                                  </w:pPr>
                                  <w:r>
                                    <w:rPr>
                                      <w:rFonts w:hint="eastAsia"/>
                                      <w:sz w:val="15"/>
                                    </w:rPr>
                                    <w:t>费</w:t>
                                  </w:r>
                                </w:p>
                              </w:txbxContent>
                            </wps:txbx>
                            <wps:bodyPr lIns="0" tIns="0" rIns="0" bIns="0" upright="1"/>
                          </wps:wsp>
                        </a:graphicData>
                      </a:graphic>
                    </wp:anchor>
                  </w:drawing>
                </mc:Choice>
                <mc:Fallback>
                  <w:pict>
                    <v:shape id="__TH_B2125" o:spid="_x0000_s1026" o:spt="202" type="#_x0000_t202" style="position:absolute;left:0pt;margin-left:19.95pt;margin-top:10.05pt;height:9.4pt;width:9.9pt;z-index:251670528;mso-width-relative:page;mso-height-relative:page;" filled="f" stroked="f" coordsize="21600,21600" o:gfxdata="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3Hk&#10;NdUAAAAHAQAADwAAAAAAAAABACAAAAAiAAAAZHJzL2Rvd25yZXYueG1sUEsBAhQAFAAAAAgAh07i&#10;QOtxLGKzAQAAfwMAAA4AAAAAAAAAAQAgAAAAJAEAAGRycy9lMm9Eb2MueG1sUEsFBgAAAAAGAAYA&#10;WQEAAEkFAAAAAA==&#10;">
                      <v:fill on="f" focussize="0,0"/>
                      <v:stroke on="f"/>
                      <v:imagedata o:title=""/>
                      <o:lock v:ext="edit" aspectratio="f"/>
                      <v:textbox inset="0mm,0mm,0mm,0mm">
                        <w:txbxContent>
                          <w:p>
                            <w:pPr>
                              <w:snapToGrid w:val="0"/>
                              <w:rPr>
                                <w:sz w:val="15"/>
                              </w:rPr>
                            </w:pPr>
                            <w:r>
                              <w:rPr>
                                <w:rFonts w:hint="eastAsia"/>
                                <w:sz w:val="15"/>
                              </w:rPr>
                              <w:t>费</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9504" behindDoc="0" locked="0" layoutInCell="1" allowOverlap="1">
                      <wp:simplePos x="0" y="0"/>
                      <wp:positionH relativeFrom="column">
                        <wp:posOffset>1125855</wp:posOffset>
                      </wp:positionH>
                      <wp:positionV relativeFrom="paragraph">
                        <wp:posOffset>410845</wp:posOffset>
                      </wp:positionV>
                      <wp:extent cx="125095" cy="118745"/>
                      <wp:effectExtent l="0" t="0" r="0" b="0"/>
                      <wp:wrapNone/>
                      <wp:docPr id="12" name="__TH_B1424"/>
                      <wp:cNvGraphicFramePr/>
                      <a:graphic xmlns:a="http://schemas.openxmlformats.org/drawingml/2006/main">
                        <a:graphicData uri="http://schemas.microsoft.com/office/word/2010/wordprocessingShape">
                          <wps:wsp>
                            <wps:cNvSpPr txBox="1"/>
                            <wps:spPr>
                              <a:xfrm>
                                <a:off x="0" y="0"/>
                                <a:ext cx="125095" cy="118745"/>
                              </a:xfrm>
                              <a:prstGeom prst="rect">
                                <a:avLst/>
                              </a:prstGeom>
                              <a:noFill/>
                              <a:ln>
                                <a:noFill/>
                              </a:ln>
                              <a:effectLst/>
                            </wps:spPr>
                            <wps:txbx>
                              <w:txbxContent>
                                <w:p>
                                  <w:pPr>
                                    <w:snapToGrid w:val="0"/>
                                    <w:rPr>
                                      <w:sz w:val="15"/>
                                    </w:rPr>
                                  </w:pPr>
                                  <w:r>
                                    <w:rPr>
                                      <w:rFonts w:hint="eastAsia"/>
                                      <w:sz w:val="15"/>
                                    </w:rPr>
                                    <w:t>型</w:t>
                                  </w:r>
                                </w:p>
                              </w:txbxContent>
                            </wps:txbx>
                            <wps:bodyPr lIns="0" tIns="0" rIns="0" bIns="0" upright="1"/>
                          </wps:wsp>
                        </a:graphicData>
                      </a:graphic>
                    </wp:anchor>
                  </w:drawing>
                </mc:Choice>
                <mc:Fallback>
                  <w:pict>
                    <v:shape id="__TH_B1424" o:spid="_x0000_s1026" o:spt="202" type="#_x0000_t202" style="position:absolute;left:0pt;margin-left:88.65pt;margin-top:32.35pt;height:9.35pt;width:9.85pt;z-index:251669504;mso-width-relative:page;mso-height-relative:page;" filled="f" stroked="f" coordsize="21600,21600" o:gfxdata="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z&#10;1MkA2AAAAAkBAAAPAAAAAAAAAAEAIAAAACIAAABkcnMvZG93bnJldi54bWxQSwECFAAUAAAACACH&#10;TuJA/cpUVbIBAAB/AwAADgAAAAAAAAABACAAAAAnAQAAZHJzL2Uyb0RvYy54bWxQSwUGAAAAAAYA&#10;BgBZAQAASwUAAAAA&#10;">
                      <v:fill on="f" focussize="0,0"/>
                      <v:stroke on="f"/>
                      <v:imagedata o:title=""/>
                      <o:lock v:ext="edit" aspectratio="f"/>
                      <v:textbox inset="0mm,0mm,0mm,0mm">
                        <w:txbxContent>
                          <w:p>
                            <w:pPr>
                              <w:snapToGrid w:val="0"/>
                              <w:rPr>
                                <w:sz w:val="15"/>
                              </w:rPr>
                            </w:pPr>
                            <w:r>
                              <w:rPr>
                                <w:rFonts w:hint="eastAsia"/>
                                <w:sz w:val="15"/>
                              </w:rPr>
                              <w:t>型</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8480" behindDoc="0" locked="0" layoutInCell="1" allowOverlap="1">
                      <wp:simplePos x="0" y="0"/>
                      <wp:positionH relativeFrom="column">
                        <wp:posOffset>1066165</wp:posOffset>
                      </wp:positionH>
                      <wp:positionV relativeFrom="paragraph">
                        <wp:posOffset>289560</wp:posOffset>
                      </wp:positionV>
                      <wp:extent cx="125095" cy="119380"/>
                      <wp:effectExtent l="0" t="0" r="0" b="0"/>
                      <wp:wrapNone/>
                      <wp:docPr id="11" name="__TH_B1323"/>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pPr>
                                    <w:snapToGrid w:val="0"/>
                                    <w:rPr>
                                      <w:sz w:val="15"/>
                                    </w:rPr>
                                  </w:pPr>
                                  <w:r>
                                    <w:rPr>
                                      <w:rFonts w:hint="eastAsia"/>
                                      <w:sz w:val="15"/>
                                    </w:rPr>
                                    <w:t>类</w:t>
                                  </w:r>
                                </w:p>
                              </w:txbxContent>
                            </wps:txbx>
                            <wps:bodyPr lIns="0" tIns="0" rIns="0" bIns="0" upright="1"/>
                          </wps:wsp>
                        </a:graphicData>
                      </a:graphic>
                    </wp:anchor>
                  </w:drawing>
                </mc:Choice>
                <mc:Fallback>
                  <w:pict>
                    <v:shape id="__TH_B1323" o:spid="_x0000_s1026" o:spt="202" type="#_x0000_t202" style="position:absolute;left:0pt;margin-left:83.95pt;margin-top:22.8pt;height:9.4pt;width:9.85pt;z-index:251668480;mso-width-relative:page;mso-height-relative:page;" filled="f" stroked="f" coordsize="21600,21600" o:gfxdata="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upVmdgAAAAJAQAADwAAAAAAAAABACAAAAAiAAAAZHJzL2Rvd25yZXYueG1sUEsBAhQAFAAAAAgA&#10;h07iQMu1DXqzAQAAfwMAAA4AAAAAAAAAAQAgAAAAJwEAAGRycy9lMm9Eb2MueG1sUEsFBgAAAAAG&#10;AAYAWQEAAEwFAAAAAA==&#10;">
                      <v:fill on="f" focussize="0,0"/>
                      <v:stroke on="f"/>
                      <v:imagedata o:title=""/>
                      <o:lock v:ext="edit" aspectratio="f"/>
                      <v:textbox inset="0mm,0mm,0mm,0mm">
                        <w:txbxContent>
                          <w:p>
                            <w:pPr>
                              <w:snapToGrid w:val="0"/>
                              <w:rPr>
                                <w:sz w:val="15"/>
                              </w:rPr>
                            </w:pPr>
                            <w:r>
                              <w:rPr>
                                <w:rFonts w:hint="eastAsia"/>
                                <w:sz w:val="15"/>
                              </w:rPr>
                              <w:t>类</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7456" behindDoc="0" locked="0" layoutInCell="1" allowOverlap="1">
                      <wp:simplePos x="0" y="0"/>
                      <wp:positionH relativeFrom="column">
                        <wp:posOffset>1006475</wp:posOffset>
                      </wp:positionH>
                      <wp:positionV relativeFrom="paragraph">
                        <wp:posOffset>168910</wp:posOffset>
                      </wp:positionV>
                      <wp:extent cx="125095" cy="119380"/>
                      <wp:effectExtent l="0" t="0" r="0" b="0"/>
                      <wp:wrapNone/>
                      <wp:docPr id="10" name="__TH_B1222"/>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pPr>
                                    <w:snapToGrid w:val="0"/>
                                    <w:rPr>
                                      <w:sz w:val="15"/>
                                    </w:rPr>
                                  </w:pPr>
                                  <w:r>
                                    <w:rPr>
                                      <w:rFonts w:hint="eastAsia"/>
                                      <w:sz w:val="15"/>
                                    </w:rPr>
                                    <w:t>务</w:t>
                                  </w:r>
                                </w:p>
                              </w:txbxContent>
                            </wps:txbx>
                            <wps:bodyPr lIns="0" tIns="0" rIns="0" bIns="0" upright="1"/>
                          </wps:wsp>
                        </a:graphicData>
                      </a:graphic>
                    </wp:anchor>
                  </w:drawing>
                </mc:Choice>
                <mc:Fallback>
                  <w:pict>
                    <v:shape id="__TH_B1222" o:spid="_x0000_s1026" o:spt="202" type="#_x0000_t202" style="position:absolute;left:0pt;margin-left:79.25pt;margin-top:13.3pt;height:9.4pt;width:9.85pt;z-index:251667456;mso-width-relative:page;mso-height-relative:page;" filled="f" stroked="f" coordsize="21600,21600" o:gfxdata="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j&#10;XzaP2AAAAAkBAAAPAAAAAAAAAAEAIAAAACIAAABkcnMvZG93bnJldi54bWxQSwECFAAUAAAACACH&#10;TuJAUTpdk7IBAAB/AwAADgAAAAAAAAABACAAAAAnAQAAZHJzL2Uyb0RvYy54bWxQSwUGAAAAAAYA&#10;BgBZAQAASwUAAAAA&#10;">
                      <v:fill on="f" focussize="0,0"/>
                      <v:stroke on="f"/>
                      <v:imagedata o:title=""/>
                      <o:lock v:ext="edit" aspectratio="f"/>
                      <v:textbox inset="0mm,0mm,0mm,0mm">
                        <w:txbxContent>
                          <w:p>
                            <w:pPr>
                              <w:snapToGrid w:val="0"/>
                              <w:rPr>
                                <w:sz w:val="15"/>
                              </w:rPr>
                            </w:pPr>
                            <w:r>
                              <w:rPr>
                                <w:rFonts w:hint="eastAsia"/>
                                <w:sz w:val="15"/>
                              </w:rPr>
                              <w:t>务</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6432" behindDoc="0" locked="0" layoutInCell="1" allowOverlap="1">
                      <wp:simplePos x="0" y="0"/>
                      <wp:positionH relativeFrom="column">
                        <wp:posOffset>946785</wp:posOffset>
                      </wp:positionH>
                      <wp:positionV relativeFrom="paragraph">
                        <wp:posOffset>48260</wp:posOffset>
                      </wp:positionV>
                      <wp:extent cx="125095" cy="119380"/>
                      <wp:effectExtent l="0" t="0" r="0" b="0"/>
                      <wp:wrapNone/>
                      <wp:docPr id="9" name="__TH_B1121"/>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pPr>
                                    <w:snapToGrid w:val="0"/>
                                    <w:rPr>
                                      <w:sz w:val="15"/>
                                    </w:rPr>
                                  </w:pPr>
                                  <w:r>
                                    <w:rPr>
                                      <w:rFonts w:hint="eastAsia"/>
                                      <w:sz w:val="15"/>
                                    </w:rPr>
                                    <w:t>服</w:t>
                                  </w:r>
                                </w:p>
                              </w:txbxContent>
                            </wps:txbx>
                            <wps:bodyPr lIns="0" tIns="0" rIns="0" bIns="0" upright="1"/>
                          </wps:wsp>
                        </a:graphicData>
                      </a:graphic>
                    </wp:anchor>
                  </w:drawing>
                </mc:Choice>
                <mc:Fallback>
                  <w:pict>
                    <v:shape id="__TH_B1121" o:spid="_x0000_s1026" o:spt="202" type="#_x0000_t202" style="position:absolute;left:0pt;margin-left:74.55pt;margin-top:3.8pt;height:9.4pt;width:9.85pt;z-index:251666432;mso-width-relative:page;mso-height-relative:page;" filled="f" stroked="f" coordsize="21600,21600" o:gfxdata="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x&#10;2So/1wAAAAgBAAAPAAAAAAAAAAEAIAAAACIAAABkcnMvZG93bnJldi54bWxQSwECFAAUAAAACACH&#10;TuJAk/EplLMBAAB+AwAADgAAAAAAAAABACAAAAAmAQAAZHJzL2Uyb0RvYy54bWxQSwUGAAAAAAYA&#10;BgBZAQAASwUAAAAA&#10;">
                      <v:fill on="f" focussize="0,0"/>
                      <v:stroke on="f"/>
                      <v:imagedata o:title=""/>
                      <o:lock v:ext="edit" aspectratio="f"/>
                      <v:textbox inset="0mm,0mm,0mm,0mm">
                        <w:txbxContent>
                          <w:p>
                            <w:pPr>
                              <w:snapToGrid w:val="0"/>
                              <w:rPr>
                                <w:sz w:val="15"/>
                              </w:rPr>
                            </w:pPr>
                            <w:r>
                              <w:rPr>
                                <w:rFonts w:hint="eastAsia"/>
                                <w:sz w:val="15"/>
                              </w:rPr>
                              <w:t>服</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5408" behindDoc="0" locked="0" layoutInCell="1" allowOverlap="1">
                      <wp:simplePos x="0" y="0"/>
                      <wp:positionH relativeFrom="column">
                        <wp:posOffset>-65405</wp:posOffset>
                      </wp:positionH>
                      <wp:positionV relativeFrom="paragraph">
                        <wp:posOffset>340995</wp:posOffset>
                      </wp:positionV>
                      <wp:extent cx="1346200" cy="340360"/>
                      <wp:effectExtent l="1270" t="4445" r="5080" b="17145"/>
                      <wp:wrapNone/>
                      <wp:docPr id="8" name="__TH_L20"/>
                      <wp:cNvGraphicFramePr/>
                      <a:graphic xmlns:a="http://schemas.openxmlformats.org/drawingml/2006/main">
                        <a:graphicData uri="http://schemas.microsoft.com/office/word/2010/wordprocessingShape">
                          <wps:wsp>
                            <wps:cNvCnPr/>
                            <wps:spPr>
                              <a:xfrm>
                                <a:off x="0" y="0"/>
                                <a:ext cx="1346200" cy="34036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_TH_L20" o:spid="_x0000_s1026" o:spt="20" style="position:absolute;left:0pt;margin-left:-5.15pt;margin-top:26.85pt;height:26.8pt;width:106pt;z-index:251665408;mso-width-relative:page;mso-height-relative:page;" filled="f" stroked="t" coordsize="21600,21600" o:gfxdata="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uoAAtYAAAAKAQAADwAA&#10;AAAAAAABACAAAAAiAAAAZHJzL2Rvd25yZXYueG1sUEsBAhQAFAAAAAgAh07iQIYtgRffAQAA4gMA&#10;AA4AAAAAAAAAAQAgAAAAJQEAAGRycy9lMm9Eb2MueG1sUEsFBgAAAAAGAAYAWQEAAHYFAAAAAA==&#10;">
                      <v:fill on="f" focussize="0,0"/>
                      <v:stroke weight="0.5pt" color="#000000" joinstyle="round"/>
                      <v:imagedata o:title=""/>
                      <o:lock v:ext="edit" aspectratio="f"/>
                    </v:lin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4384" behindDoc="0" locked="0" layoutInCell="1" allowOverlap="1">
                      <wp:simplePos x="0" y="0"/>
                      <wp:positionH relativeFrom="column">
                        <wp:posOffset>607695</wp:posOffset>
                      </wp:positionH>
                      <wp:positionV relativeFrom="paragraph">
                        <wp:posOffset>0</wp:posOffset>
                      </wp:positionV>
                      <wp:extent cx="673100" cy="681355"/>
                      <wp:effectExtent l="3175" t="3175" r="9525" b="20320"/>
                      <wp:wrapNone/>
                      <wp:docPr id="7" name="__TH_L19"/>
                      <wp:cNvGraphicFramePr/>
                      <a:graphic xmlns:a="http://schemas.openxmlformats.org/drawingml/2006/main">
                        <a:graphicData uri="http://schemas.microsoft.com/office/word/2010/wordprocessingShape">
                          <wps:wsp>
                            <wps:cNvCnPr/>
                            <wps:spPr>
                              <a:xfrm>
                                <a:off x="0" y="0"/>
                                <a:ext cx="673100" cy="681355"/>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_TH_L19" o:spid="_x0000_s1026" o:spt="20" style="position:absolute;left:0pt;margin-left:47.85pt;margin-top:0pt;height:53.65pt;width:53pt;z-index:251664384;mso-width-relative:page;mso-height-relative:page;" filled="f" stroked="t" coordsize="21600,21600" o:gfxdata="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3G1tN0wAAAAcBAAAPAAAAAAAA&#10;AAEAIAAAACIAAABkcnMvZG93bnJldi54bWxQSwECFAAUAAAACACHTuJALzrNBt4BAADhAwAADgAA&#10;AAAAAAABACAAAAAiAQAAZHJzL2Uyb0RvYy54bWxQSwUGAAAAAAYABgBZAQAAcgUAAAAA&#10;">
                      <v:fill on="f" focussize="0,0"/>
                      <v:stroke weight="0.5pt" color="#000000" joinstyle="round"/>
                      <v:imagedata o:title=""/>
                      <o:lock v:ext="edit" aspectratio="f"/>
                    </v:line>
                  </w:pict>
                </mc:Fallback>
              </mc:AlternateContent>
            </w:r>
          </w:p>
        </w:tc>
        <w:tc>
          <w:tcPr>
            <w:tcW w:w="1661" w:type="dxa"/>
            <w:tcBorders>
              <w:righ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服务采购</w:t>
            </w:r>
          </w:p>
        </w:tc>
        <w:tc>
          <w:tcPr>
            <w:tcW w:w="1661" w:type="dxa"/>
            <w:tcBorders>
              <w:left w:val="single" w:color="auto" w:sz="4" w:space="0"/>
              <w:righ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货物采购</w:t>
            </w:r>
          </w:p>
        </w:tc>
        <w:tc>
          <w:tcPr>
            <w:tcW w:w="1662" w:type="dxa"/>
            <w:tcBorders>
              <w:lef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工程采购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131" w:type="dxa"/>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100</w:t>
            </w:r>
          </w:p>
        </w:tc>
        <w:tc>
          <w:tcPr>
            <w:tcW w:w="1661" w:type="dxa"/>
            <w:tcBorders>
              <w:righ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1.50%</w:t>
            </w:r>
          </w:p>
        </w:tc>
        <w:tc>
          <w:tcPr>
            <w:tcW w:w="1661" w:type="dxa"/>
            <w:tcBorders>
              <w:left w:val="single" w:color="auto" w:sz="4" w:space="0"/>
              <w:righ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1.50%</w:t>
            </w:r>
          </w:p>
        </w:tc>
        <w:tc>
          <w:tcPr>
            <w:tcW w:w="1662" w:type="dxa"/>
            <w:tcBorders>
              <w:lef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131" w:type="dxa"/>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100-500</w:t>
            </w:r>
          </w:p>
        </w:tc>
        <w:tc>
          <w:tcPr>
            <w:tcW w:w="1661" w:type="dxa"/>
            <w:tcBorders>
              <w:righ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0.80%</w:t>
            </w:r>
          </w:p>
        </w:tc>
        <w:tc>
          <w:tcPr>
            <w:tcW w:w="1661" w:type="dxa"/>
            <w:tcBorders>
              <w:left w:val="single" w:color="auto" w:sz="4" w:space="0"/>
              <w:righ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1.10%</w:t>
            </w:r>
          </w:p>
        </w:tc>
        <w:tc>
          <w:tcPr>
            <w:tcW w:w="1662" w:type="dxa"/>
            <w:tcBorders>
              <w:lef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0.70%</w:t>
            </w:r>
          </w:p>
        </w:tc>
      </w:tr>
    </w:tbl>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注：1、采购代理服务费按差额定率累进法计算。例如：某服务类项目中标金额为200万元，计算采购代理服务费额如下：</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100万元×1.5%=1.5万元</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（200-100）万元×0.8%=0.8万元</w:t>
      </w:r>
    </w:p>
    <w:p>
      <w:pPr>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合计收费=1.5+0.8＝2.3（万元）</w:t>
      </w:r>
    </w:p>
    <w:p>
      <w:pPr>
        <w:rPr>
          <w:rFonts w:cs="仿宋" w:asciiTheme="minorEastAsia" w:hAnsiTheme="minorEastAsia" w:eastAsiaTheme="minorEastAsia"/>
          <w:szCs w:val="21"/>
        </w:rPr>
      </w:pPr>
      <w:r>
        <w:rPr>
          <w:rFonts w:hint="eastAsia" w:cs="仿宋" w:asciiTheme="minorEastAsia" w:hAnsiTheme="minorEastAsia" w:eastAsiaTheme="minorEastAsia"/>
          <w:snapToGrid w:val="0"/>
          <w:kern w:val="0"/>
          <w:szCs w:val="21"/>
        </w:rPr>
        <w:br w:type="page"/>
      </w: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adjustRightInd w:val="0"/>
        <w:snapToGrid w:val="0"/>
        <w:spacing w:line="300" w:lineRule="auto"/>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第六部分</w:t>
      </w:r>
    </w:p>
    <w:p>
      <w:pPr>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附件</w:t>
      </w:r>
    </w:p>
    <w:p>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附件1</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履约保证金</w:t>
      </w:r>
    </w:p>
    <w:p>
      <w:pPr>
        <w:adjustRightInd w:val="0"/>
        <w:snapToGrid w:val="0"/>
        <w:spacing w:line="300" w:lineRule="auto"/>
        <w:rPr>
          <w:rFonts w:cs="仿宋" w:asciiTheme="minorEastAsia" w:hAnsiTheme="minorEastAsia" w:eastAsiaTheme="minorEastAsia"/>
          <w:snapToGrid w:val="0"/>
          <w:kern w:val="0"/>
        </w:rPr>
      </w:pPr>
    </w:p>
    <w:p>
      <w:pPr>
        <w:adjustRightInd w:val="0"/>
        <w:snapToGrid w:val="0"/>
        <w:spacing w:line="300" w:lineRule="auto"/>
        <w:rPr>
          <w:rFonts w:cs="仿宋" w:asciiTheme="minorEastAsia" w:hAnsiTheme="minorEastAsia" w:eastAsiaTheme="minorEastAsia"/>
          <w:snapToGrid w:val="0"/>
          <w:kern w:val="0"/>
        </w:rPr>
      </w:pPr>
    </w:p>
    <w:p>
      <w:pPr>
        <w:adjustRightInd w:val="0"/>
        <w:snapToGrid w:val="0"/>
        <w:spacing w:line="300" w:lineRule="auto"/>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银行保函（格式）</w:t>
      </w:r>
    </w:p>
    <w:p>
      <w:pPr>
        <w:rPr>
          <w:rFonts w:cs="仿宋" w:asciiTheme="minorEastAsia" w:hAnsiTheme="minorEastAsia" w:eastAsiaTheme="minorEastAsia"/>
        </w:rPr>
      </w:pPr>
    </w:p>
    <w:p>
      <w:pPr>
        <w:pStyle w:val="39"/>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rPr>
        <w:t xml:space="preserve">  </w:t>
      </w:r>
      <w:r>
        <w:rPr>
          <w:rFonts w:hint="eastAsia" w:cs="仿宋" w:asciiTheme="minorEastAsia" w:hAnsiTheme="minorEastAsia" w:eastAsiaTheme="minorEastAsia"/>
          <w:sz w:val="22"/>
          <w:u w:val="single"/>
        </w:rPr>
        <w:t>(买方名称)</w:t>
      </w:r>
      <w:r>
        <w:rPr>
          <w:rFonts w:hint="eastAsia" w:cs="仿宋" w:asciiTheme="minorEastAsia" w:hAnsiTheme="minorEastAsia" w:eastAsiaTheme="minorEastAsia"/>
          <w:sz w:val="22"/>
        </w:rPr>
        <w:t>：</w:t>
      </w:r>
    </w:p>
    <w:p>
      <w:pPr>
        <w:pStyle w:val="39"/>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本保函是为</w:t>
      </w:r>
      <w:r>
        <w:rPr>
          <w:rFonts w:hint="eastAsia" w:cs="仿宋" w:asciiTheme="minorEastAsia" w:hAnsiTheme="minorEastAsia" w:eastAsiaTheme="minorEastAsia"/>
          <w:sz w:val="22"/>
          <w:u w:val="single"/>
        </w:rPr>
        <w:t>(卖方名称)</w:t>
      </w:r>
      <w:r>
        <w:rPr>
          <w:rFonts w:hint="eastAsia" w:cs="仿宋" w:asciiTheme="minorEastAsia" w:hAnsiTheme="minorEastAsia" w:eastAsiaTheme="minorEastAsia"/>
          <w:sz w:val="22"/>
        </w:rPr>
        <w:t>(以下简称卖方)于</w:t>
      </w:r>
      <w:r>
        <w:rPr>
          <w:rFonts w:hint="eastAsia" w:cs="仿宋" w:asciiTheme="minorEastAsia" w:hAnsiTheme="minorEastAsia" w:eastAsiaTheme="minorEastAsia"/>
          <w:sz w:val="22"/>
          <w:u w:val="single"/>
        </w:rPr>
        <w:t xml:space="preserve">     </w:t>
      </w:r>
      <w:r>
        <w:rPr>
          <w:rFonts w:hint="eastAsia" w:cs="仿宋" w:asciiTheme="minorEastAsia" w:hAnsiTheme="minorEastAsia" w:eastAsiaTheme="minorEastAsia"/>
          <w:sz w:val="22"/>
        </w:rPr>
        <w:t>年</w:t>
      </w:r>
      <w:r>
        <w:rPr>
          <w:rFonts w:hint="eastAsia" w:cs="仿宋" w:asciiTheme="minorEastAsia" w:hAnsiTheme="minorEastAsia" w:eastAsiaTheme="minorEastAsia"/>
          <w:sz w:val="22"/>
          <w:u w:val="single"/>
        </w:rPr>
        <w:t xml:space="preserve">    </w:t>
      </w:r>
      <w:r>
        <w:rPr>
          <w:rFonts w:hint="eastAsia" w:cs="仿宋" w:asciiTheme="minorEastAsia" w:hAnsiTheme="minorEastAsia" w:eastAsiaTheme="minorEastAsia"/>
          <w:sz w:val="22"/>
        </w:rPr>
        <w:t>月</w:t>
      </w:r>
      <w:r>
        <w:rPr>
          <w:rFonts w:hint="eastAsia" w:cs="仿宋" w:asciiTheme="minorEastAsia" w:hAnsiTheme="minorEastAsia" w:eastAsiaTheme="minorEastAsia"/>
          <w:sz w:val="22"/>
          <w:u w:val="single"/>
        </w:rPr>
        <w:t xml:space="preserve">    </w:t>
      </w:r>
      <w:r>
        <w:rPr>
          <w:rFonts w:hint="eastAsia" w:cs="仿宋" w:asciiTheme="minorEastAsia" w:hAnsiTheme="minorEastAsia" w:eastAsiaTheme="minorEastAsia"/>
          <w:sz w:val="22"/>
        </w:rPr>
        <w:t>日与</w:t>
      </w:r>
      <w:r>
        <w:rPr>
          <w:rFonts w:hint="eastAsia" w:cs="仿宋" w:asciiTheme="minorEastAsia" w:hAnsiTheme="minorEastAsia" w:eastAsiaTheme="minorEastAsia"/>
          <w:sz w:val="22"/>
          <w:u w:val="single"/>
        </w:rPr>
        <w:t>(买方名称)</w:t>
      </w:r>
      <w:r>
        <w:rPr>
          <w:rFonts w:hint="eastAsia" w:cs="仿宋" w:asciiTheme="minorEastAsia" w:hAnsiTheme="minorEastAsia" w:eastAsiaTheme="minorEastAsia"/>
          <w:sz w:val="22"/>
        </w:rPr>
        <w:t>(以下简称买方)签订的第</w:t>
      </w:r>
      <w:r>
        <w:rPr>
          <w:rFonts w:hint="eastAsia" w:cs="仿宋" w:asciiTheme="minorEastAsia" w:hAnsiTheme="minorEastAsia" w:eastAsiaTheme="minorEastAsia"/>
          <w:sz w:val="22"/>
          <w:u w:val="single"/>
        </w:rPr>
        <w:t>(合同编号)</w:t>
      </w:r>
      <w:r>
        <w:rPr>
          <w:rFonts w:hint="eastAsia" w:cs="仿宋" w:asciiTheme="minorEastAsia" w:hAnsiTheme="minorEastAsia" w:eastAsiaTheme="minorEastAsia"/>
          <w:sz w:val="22"/>
        </w:rPr>
        <w:t>号供货合同而提供的履约担保。</w:t>
      </w:r>
    </w:p>
    <w:p>
      <w:pPr>
        <w:pStyle w:val="39"/>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w:t>
      </w:r>
      <w:r>
        <w:rPr>
          <w:rFonts w:hint="eastAsia" w:cs="仿宋" w:asciiTheme="minorEastAsia" w:hAnsiTheme="minorEastAsia" w:eastAsiaTheme="minorEastAsia"/>
          <w:sz w:val="22"/>
          <w:u w:val="single"/>
        </w:rPr>
        <w:t>(银行名称)</w:t>
      </w:r>
      <w:r>
        <w:rPr>
          <w:rFonts w:hint="eastAsia" w:cs="仿宋" w:asciiTheme="minorEastAsia" w:hAnsiTheme="minorEastAsia" w:eastAsiaTheme="minorEastAsia"/>
          <w:sz w:val="22"/>
        </w:rPr>
        <w:t>以及他的继承人和受让人无条件地、不可撤销地约束本行，一旦收到</w:t>
      </w:r>
      <w:r>
        <w:rPr>
          <w:rFonts w:hint="eastAsia" w:cs="仿宋" w:asciiTheme="minorEastAsia" w:hAnsiTheme="minorEastAsia" w:eastAsiaTheme="minorEastAsia"/>
          <w:sz w:val="22"/>
          <w:u w:val="single"/>
        </w:rPr>
        <w:t>(买方名称)</w:t>
      </w:r>
      <w:r>
        <w:rPr>
          <w:rFonts w:hint="eastAsia" w:cs="仿宋" w:asciiTheme="minorEastAsia" w:hAnsiTheme="minorEastAsia" w:eastAsiaTheme="minorEastAsia"/>
          <w:sz w:val="22"/>
        </w:rPr>
        <w:t>书面提出卖方不能履行合同约定，发生下列违约条件之一的通知时，我行保证付给</w:t>
      </w:r>
      <w:r>
        <w:rPr>
          <w:rFonts w:hint="eastAsia" w:cs="仿宋" w:asciiTheme="minorEastAsia" w:hAnsiTheme="minorEastAsia" w:eastAsiaTheme="minorEastAsia"/>
          <w:sz w:val="22"/>
          <w:u w:val="single"/>
        </w:rPr>
        <w:t>(买方名称)</w:t>
      </w:r>
      <w:r>
        <w:rPr>
          <w:rFonts w:hint="eastAsia" w:cs="仿宋" w:asciiTheme="minorEastAsia" w:hAnsiTheme="minorEastAsia" w:eastAsiaTheme="minorEastAsia"/>
          <w:sz w:val="22"/>
        </w:rPr>
        <w:t>金额为</w:t>
      </w:r>
      <w:r>
        <w:rPr>
          <w:rFonts w:hint="eastAsia" w:cs="仿宋" w:asciiTheme="minorEastAsia" w:hAnsiTheme="minorEastAsia" w:eastAsiaTheme="minorEastAsia"/>
          <w:sz w:val="22"/>
          <w:u w:val="single"/>
        </w:rPr>
        <w:t xml:space="preserve">          </w:t>
      </w:r>
      <w:r>
        <w:rPr>
          <w:rFonts w:hint="eastAsia" w:cs="仿宋" w:asciiTheme="minorEastAsia" w:hAnsiTheme="minorEastAsia" w:eastAsiaTheme="minorEastAsia"/>
          <w:sz w:val="22"/>
        </w:rPr>
        <w:t>万元人民币的保证金。</w:t>
      </w:r>
    </w:p>
    <w:p>
      <w:pPr>
        <w:pStyle w:val="39"/>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w:t>
      </w:r>
    </w:p>
    <w:p>
      <w:pPr>
        <w:pStyle w:val="39"/>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(一)违约条件：</w:t>
      </w:r>
    </w:p>
    <w:p>
      <w:pPr>
        <w:pStyle w:val="39"/>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·在合同有效期内，卖方拒绝履行合同；</w:t>
      </w:r>
    </w:p>
    <w:p>
      <w:pPr>
        <w:pStyle w:val="39"/>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·在合同有效期内，卖方未经买方同意，变更供货合同的主要条款；</w:t>
      </w:r>
    </w:p>
    <w:p>
      <w:pPr>
        <w:pStyle w:val="39"/>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·产品质量在质保期内，经省级质量检验、监督机关鉴定产品质量发生问题；</w:t>
      </w:r>
    </w:p>
    <w:p>
      <w:pPr>
        <w:pStyle w:val="39"/>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(二)在合同执行期间，供需双方发生了纠纷，履约保函有效期限可延长到纠纷得到最终解决完毕后。</w:t>
      </w:r>
    </w:p>
    <w:p>
      <w:pPr>
        <w:pStyle w:val="39"/>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(三)本保函自开立之日起有效，在接到买方的《验收合格的通知》后7日内予以退还。</w:t>
      </w:r>
    </w:p>
    <w:p>
      <w:pPr>
        <w:pStyle w:val="39"/>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w:t>
      </w:r>
    </w:p>
    <w:p>
      <w:pPr>
        <w:pStyle w:val="39"/>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(卖方银行名称)：</w:t>
      </w:r>
      <w:r>
        <w:rPr>
          <w:rFonts w:hint="eastAsia" w:cs="仿宋" w:asciiTheme="minorEastAsia" w:hAnsiTheme="minorEastAsia" w:eastAsiaTheme="minorEastAsia"/>
          <w:sz w:val="22"/>
          <w:u w:val="single"/>
        </w:rPr>
        <w:t xml:space="preserve">            </w:t>
      </w:r>
      <w:r>
        <w:rPr>
          <w:rFonts w:hint="eastAsia" w:cs="仿宋" w:asciiTheme="minorEastAsia" w:hAnsiTheme="minorEastAsia" w:eastAsiaTheme="minorEastAsia"/>
          <w:sz w:val="22"/>
        </w:rPr>
        <w:t>(公章)</w:t>
      </w:r>
    </w:p>
    <w:p>
      <w:pPr>
        <w:pStyle w:val="39"/>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w:t>
      </w:r>
    </w:p>
    <w:p>
      <w:pPr>
        <w:pStyle w:val="39"/>
        <w:adjustRightInd w:val="0"/>
        <w:snapToGrid w:val="0"/>
        <w:spacing w:line="360" w:lineRule="auto"/>
        <w:ind w:firstLine="420"/>
        <w:rPr>
          <w:rFonts w:cs="仿宋" w:asciiTheme="minorEastAsia" w:hAnsiTheme="minorEastAsia" w:eastAsiaTheme="minorEastAsia"/>
        </w:rPr>
      </w:pPr>
      <w:r>
        <w:rPr>
          <w:rFonts w:hint="eastAsia" w:cs="仿宋" w:asciiTheme="minorEastAsia" w:hAnsiTheme="minorEastAsia" w:eastAsiaTheme="minorEastAsia"/>
          <w:sz w:val="22"/>
        </w:rPr>
        <w:t xml:space="preserve">                                   签 发 人 签 字：</w:t>
      </w:r>
      <w:r>
        <w:rPr>
          <w:rFonts w:hint="eastAsia" w:cs="仿宋" w:asciiTheme="minorEastAsia" w:hAnsiTheme="minorEastAsia" w:eastAsiaTheme="minorEastAsia"/>
          <w:sz w:val="22"/>
          <w:u w:val="single"/>
        </w:rPr>
        <w:t xml:space="preserve">            </w:t>
      </w:r>
    </w:p>
    <w:p>
      <w:pPr>
        <w:pStyle w:val="40"/>
        <w:adjustRightInd w:val="0"/>
        <w:spacing w:line="360" w:lineRule="auto"/>
        <w:rPr>
          <w:rFonts w:cs="仿宋" w:asciiTheme="minorEastAsia" w:hAnsiTheme="minorEastAsia" w:eastAsiaTheme="minorEastAsia"/>
        </w:rPr>
      </w:pPr>
      <w:r>
        <w:rPr>
          <w:rFonts w:hint="eastAsia" w:cs="宋体" w:asciiTheme="minorEastAsia" w:hAnsiTheme="minorEastAsia" w:eastAsiaTheme="minorEastAsia"/>
        </w:rPr>
        <w:t> </w:t>
      </w:r>
    </w:p>
    <w:p>
      <w:pPr>
        <w:rPr>
          <w:rFonts w:cs="仿宋" w:asciiTheme="minorEastAsia" w:hAnsiTheme="minorEastAsia" w:eastAsiaTheme="minorEastAsia"/>
        </w:rPr>
      </w:pPr>
    </w:p>
    <w:sectPr>
      <w:footerReference r:id="rId5" w:type="first"/>
      <w:headerReference r:id="rId3" w:type="default"/>
      <w:footerReference r:id="rId4"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147463"/>
    </w:sdtPr>
    <w:sdtContent>
      <w:p>
        <w:pPr>
          <w:pStyle w:val="13"/>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147464"/>
    </w:sdtPr>
    <w:sdtContent>
      <w:p>
        <w:pPr>
          <w:pStyle w:val="13"/>
          <w:jc w:val="center"/>
        </w:pPr>
      </w:p>
    </w:sdtContent>
  </w:sdt>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sz w:val="16"/>
        <w:szCs w:val="16"/>
      </w:rPr>
    </w:pPr>
    <w:r>
      <w:rPr>
        <w:rFonts w:hint="eastAsia"/>
        <w:sz w:val="16"/>
        <w:szCs w:val="16"/>
      </w:rPr>
      <w:t>项目名称：</w:t>
    </w:r>
    <w:r>
      <w:rPr>
        <w:rFonts w:hint="eastAsia" w:ascii="宋体" w:hAnsi="宋体"/>
        <w:sz w:val="16"/>
        <w:szCs w:val="16"/>
      </w:rPr>
      <w:t xml:space="preserve">深圳地铁1号线西段警用通信系统运维项目 </w:t>
    </w:r>
    <w:r>
      <w:rPr>
        <w:rFonts w:hint="eastAsia"/>
        <w:sz w:val="16"/>
        <w:szCs w:val="16"/>
      </w:rPr>
      <w:t xml:space="preserve">                              项目编号：</w:t>
    </w:r>
    <w:r>
      <w:rPr>
        <w:rFonts w:hint="eastAsia" w:asciiTheme="minorEastAsia" w:hAnsiTheme="minorEastAsia" w:eastAsiaTheme="minorEastAsia"/>
        <w:sz w:val="16"/>
        <w:szCs w:val="16"/>
      </w:rPr>
      <w:t>SZZZ2022-QC0510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271432"/>
    <w:multiLevelType w:val="multilevel"/>
    <w:tmpl w:val="0E271432"/>
    <w:lvl w:ilvl="0" w:tentative="0">
      <w:start w:val="1"/>
      <w:numFmt w:val="decimal"/>
      <w:lvlText w:val="（%1）"/>
      <w:lvlJc w:val="left"/>
      <w:pPr>
        <w:tabs>
          <w:tab w:val="left" w:pos="720"/>
        </w:tabs>
        <w:ind w:left="720" w:hanging="720"/>
      </w:pPr>
      <w:rPr>
        <w:rFonts w:hint="eastAsia"/>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34F52D1"/>
    <w:multiLevelType w:val="multilevel"/>
    <w:tmpl w:val="234F52D1"/>
    <w:lvl w:ilvl="0" w:tentative="0">
      <w:start w:val="1"/>
      <w:numFmt w:val="decimal"/>
      <w:lvlText w:val="（%1）"/>
      <w:lvlJc w:val="left"/>
      <w:pPr>
        <w:tabs>
          <w:tab w:val="left" w:pos="720"/>
        </w:tabs>
        <w:ind w:left="720" w:hanging="720"/>
      </w:pPr>
      <w:rPr>
        <w:rFonts w:hint="eastAsia"/>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iN2JjZGQwODQzNTVmMDg4ZGNmNzRhYmJlZDY2YTUifQ=="/>
  </w:docVars>
  <w:rsids>
    <w:rsidRoot w:val="00081812"/>
    <w:rsid w:val="00000DEE"/>
    <w:rsid w:val="00000FB1"/>
    <w:rsid w:val="00001625"/>
    <w:rsid w:val="000042A9"/>
    <w:rsid w:val="0000490F"/>
    <w:rsid w:val="00007ECB"/>
    <w:rsid w:val="000111D4"/>
    <w:rsid w:val="00012B85"/>
    <w:rsid w:val="00014E98"/>
    <w:rsid w:val="000159CF"/>
    <w:rsid w:val="0002500E"/>
    <w:rsid w:val="00027833"/>
    <w:rsid w:val="000309C1"/>
    <w:rsid w:val="00031BF4"/>
    <w:rsid w:val="00032DB0"/>
    <w:rsid w:val="00036165"/>
    <w:rsid w:val="00037412"/>
    <w:rsid w:val="00037D52"/>
    <w:rsid w:val="00042A65"/>
    <w:rsid w:val="00044855"/>
    <w:rsid w:val="00046786"/>
    <w:rsid w:val="00050F57"/>
    <w:rsid w:val="0005394E"/>
    <w:rsid w:val="00053B8A"/>
    <w:rsid w:val="000550D9"/>
    <w:rsid w:val="00055193"/>
    <w:rsid w:val="00056E7C"/>
    <w:rsid w:val="000600D8"/>
    <w:rsid w:val="00060560"/>
    <w:rsid w:val="00060B4F"/>
    <w:rsid w:val="0006220B"/>
    <w:rsid w:val="000679AB"/>
    <w:rsid w:val="00072AAB"/>
    <w:rsid w:val="00072F2B"/>
    <w:rsid w:val="00075875"/>
    <w:rsid w:val="00076401"/>
    <w:rsid w:val="000771B0"/>
    <w:rsid w:val="00080FB8"/>
    <w:rsid w:val="00081812"/>
    <w:rsid w:val="00081C0F"/>
    <w:rsid w:val="000851F4"/>
    <w:rsid w:val="00090B60"/>
    <w:rsid w:val="00091819"/>
    <w:rsid w:val="00092AEF"/>
    <w:rsid w:val="00094CF9"/>
    <w:rsid w:val="000A02CF"/>
    <w:rsid w:val="000A1CFD"/>
    <w:rsid w:val="000B12D8"/>
    <w:rsid w:val="000B3159"/>
    <w:rsid w:val="000B44BC"/>
    <w:rsid w:val="000B61F1"/>
    <w:rsid w:val="000B7A52"/>
    <w:rsid w:val="000C05F3"/>
    <w:rsid w:val="000C1AEC"/>
    <w:rsid w:val="000C2FC4"/>
    <w:rsid w:val="000C4E01"/>
    <w:rsid w:val="000C7610"/>
    <w:rsid w:val="000C7E05"/>
    <w:rsid w:val="000D3053"/>
    <w:rsid w:val="000D4339"/>
    <w:rsid w:val="000D4C91"/>
    <w:rsid w:val="000D74FE"/>
    <w:rsid w:val="000E1731"/>
    <w:rsid w:val="000E647C"/>
    <w:rsid w:val="000E6F68"/>
    <w:rsid w:val="000F4536"/>
    <w:rsid w:val="000F47BD"/>
    <w:rsid w:val="000F4EBB"/>
    <w:rsid w:val="000F5214"/>
    <w:rsid w:val="000F5791"/>
    <w:rsid w:val="0010276A"/>
    <w:rsid w:val="001036FB"/>
    <w:rsid w:val="0010378A"/>
    <w:rsid w:val="00103A07"/>
    <w:rsid w:val="00103BD6"/>
    <w:rsid w:val="00103D0B"/>
    <w:rsid w:val="00103E57"/>
    <w:rsid w:val="00105AE0"/>
    <w:rsid w:val="00106334"/>
    <w:rsid w:val="001071FF"/>
    <w:rsid w:val="001075BE"/>
    <w:rsid w:val="0011046C"/>
    <w:rsid w:val="0011120F"/>
    <w:rsid w:val="00112047"/>
    <w:rsid w:val="001120AB"/>
    <w:rsid w:val="00113460"/>
    <w:rsid w:val="00113EC5"/>
    <w:rsid w:val="0011733C"/>
    <w:rsid w:val="001206C4"/>
    <w:rsid w:val="00120905"/>
    <w:rsid w:val="00120B4D"/>
    <w:rsid w:val="00120DDA"/>
    <w:rsid w:val="001235DF"/>
    <w:rsid w:val="001253C1"/>
    <w:rsid w:val="001300A8"/>
    <w:rsid w:val="001307EF"/>
    <w:rsid w:val="00130FFD"/>
    <w:rsid w:val="00131B9B"/>
    <w:rsid w:val="00132477"/>
    <w:rsid w:val="0013247D"/>
    <w:rsid w:val="0013568E"/>
    <w:rsid w:val="0013577A"/>
    <w:rsid w:val="0013596A"/>
    <w:rsid w:val="0014049D"/>
    <w:rsid w:val="001426B3"/>
    <w:rsid w:val="001451A4"/>
    <w:rsid w:val="00151DFD"/>
    <w:rsid w:val="0015310D"/>
    <w:rsid w:val="00155BE9"/>
    <w:rsid w:val="0016076C"/>
    <w:rsid w:val="00161DC5"/>
    <w:rsid w:val="00165708"/>
    <w:rsid w:val="001667AC"/>
    <w:rsid w:val="00166E7A"/>
    <w:rsid w:val="001713CD"/>
    <w:rsid w:val="001746A8"/>
    <w:rsid w:val="00174A8D"/>
    <w:rsid w:val="00180273"/>
    <w:rsid w:val="001807E0"/>
    <w:rsid w:val="00180DC2"/>
    <w:rsid w:val="0018134E"/>
    <w:rsid w:val="00182643"/>
    <w:rsid w:val="001830D7"/>
    <w:rsid w:val="00183156"/>
    <w:rsid w:val="00185010"/>
    <w:rsid w:val="001850C4"/>
    <w:rsid w:val="001906D1"/>
    <w:rsid w:val="0019175D"/>
    <w:rsid w:val="00192E27"/>
    <w:rsid w:val="00194764"/>
    <w:rsid w:val="00194B76"/>
    <w:rsid w:val="00197685"/>
    <w:rsid w:val="0019777D"/>
    <w:rsid w:val="001A0D90"/>
    <w:rsid w:val="001A0EB6"/>
    <w:rsid w:val="001A1302"/>
    <w:rsid w:val="001A4995"/>
    <w:rsid w:val="001A529F"/>
    <w:rsid w:val="001A7897"/>
    <w:rsid w:val="001B0736"/>
    <w:rsid w:val="001B14D5"/>
    <w:rsid w:val="001B4B65"/>
    <w:rsid w:val="001B4C23"/>
    <w:rsid w:val="001C0532"/>
    <w:rsid w:val="001C1A99"/>
    <w:rsid w:val="001C1FFB"/>
    <w:rsid w:val="001D3874"/>
    <w:rsid w:val="001D6198"/>
    <w:rsid w:val="001D6B2F"/>
    <w:rsid w:val="001D7A7C"/>
    <w:rsid w:val="001E1BC7"/>
    <w:rsid w:val="001E1F63"/>
    <w:rsid w:val="001E398A"/>
    <w:rsid w:val="001E3C4F"/>
    <w:rsid w:val="001E4745"/>
    <w:rsid w:val="001E5169"/>
    <w:rsid w:val="001E60D1"/>
    <w:rsid w:val="001E6EA6"/>
    <w:rsid w:val="001E7031"/>
    <w:rsid w:val="001F0977"/>
    <w:rsid w:val="001F2061"/>
    <w:rsid w:val="001F259A"/>
    <w:rsid w:val="001F2D31"/>
    <w:rsid w:val="001F36D4"/>
    <w:rsid w:val="001F3E52"/>
    <w:rsid w:val="001F52C4"/>
    <w:rsid w:val="001F5A31"/>
    <w:rsid w:val="00200D8A"/>
    <w:rsid w:val="00201055"/>
    <w:rsid w:val="00204553"/>
    <w:rsid w:val="00210328"/>
    <w:rsid w:val="00211E1C"/>
    <w:rsid w:val="0021223A"/>
    <w:rsid w:val="002131F0"/>
    <w:rsid w:val="002134C1"/>
    <w:rsid w:val="00213858"/>
    <w:rsid w:val="002140DF"/>
    <w:rsid w:val="002151EE"/>
    <w:rsid w:val="00215F43"/>
    <w:rsid w:val="00216C79"/>
    <w:rsid w:val="002172FA"/>
    <w:rsid w:val="00223218"/>
    <w:rsid w:val="0022493F"/>
    <w:rsid w:val="002259B7"/>
    <w:rsid w:val="00226BD7"/>
    <w:rsid w:val="00230218"/>
    <w:rsid w:val="002304B2"/>
    <w:rsid w:val="00235A7C"/>
    <w:rsid w:val="002366EC"/>
    <w:rsid w:val="00240B70"/>
    <w:rsid w:val="00241247"/>
    <w:rsid w:val="00241A35"/>
    <w:rsid w:val="00244EDA"/>
    <w:rsid w:val="002463C2"/>
    <w:rsid w:val="0024707D"/>
    <w:rsid w:val="00251EE6"/>
    <w:rsid w:val="00252A0E"/>
    <w:rsid w:val="00256F3C"/>
    <w:rsid w:val="002606B7"/>
    <w:rsid w:val="0026095A"/>
    <w:rsid w:val="00260974"/>
    <w:rsid w:val="00264F5D"/>
    <w:rsid w:val="00265825"/>
    <w:rsid w:val="002666B6"/>
    <w:rsid w:val="00270AB4"/>
    <w:rsid w:val="0027125F"/>
    <w:rsid w:val="0027386D"/>
    <w:rsid w:val="00273CE7"/>
    <w:rsid w:val="00274BCF"/>
    <w:rsid w:val="00281900"/>
    <w:rsid w:val="00282D0F"/>
    <w:rsid w:val="00284440"/>
    <w:rsid w:val="00285487"/>
    <w:rsid w:val="00290049"/>
    <w:rsid w:val="0029352A"/>
    <w:rsid w:val="002938FD"/>
    <w:rsid w:val="00293E95"/>
    <w:rsid w:val="00294665"/>
    <w:rsid w:val="002965F8"/>
    <w:rsid w:val="002A06F5"/>
    <w:rsid w:val="002A179B"/>
    <w:rsid w:val="002A3990"/>
    <w:rsid w:val="002A78DB"/>
    <w:rsid w:val="002B11F2"/>
    <w:rsid w:val="002B306C"/>
    <w:rsid w:val="002C3E2A"/>
    <w:rsid w:val="002C54D8"/>
    <w:rsid w:val="002C5B23"/>
    <w:rsid w:val="002C5F7F"/>
    <w:rsid w:val="002D285F"/>
    <w:rsid w:val="002D4AE6"/>
    <w:rsid w:val="002D51A5"/>
    <w:rsid w:val="002D6413"/>
    <w:rsid w:val="002D78BD"/>
    <w:rsid w:val="002E071E"/>
    <w:rsid w:val="002E6738"/>
    <w:rsid w:val="002F30E6"/>
    <w:rsid w:val="002F323B"/>
    <w:rsid w:val="002F463F"/>
    <w:rsid w:val="002F49D2"/>
    <w:rsid w:val="002F5D8F"/>
    <w:rsid w:val="002F5DF7"/>
    <w:rsid w:val="003007E9"/>
    <w:rsid w:val="00300F63"/>
    <w:rsid w:val="00302A03"/>
    <w:rsid w:val="00302EF1"/>
    <w:rsid w:val="00303151"/>
    <w:rsid w:val="0030484B"/>
    <w:rsid w:val="00305E56"/>
    <w:rsid w:val="00310D9B"/>
    <w:rsid w:val="00312539"/>
    <w:rsid w:val="00312A7C"/>
    <w:rsid w:val="003165DD"/>
    <w:rsid w:val="003206AD"/>
    <w:rsid w:val="003215BB"/>
    <w:rsid w:val="00321AB6"/>
    <w:rsid w:val="00321C69"/>
    <w:rsid w:val="00324BEB"/>
    <w:rsid w:val="00325DC4"/>
    <w:rsid w:val="0032699D"/>
    <w:rsid w:val="00331CBE"/>
    <w:rsid w:val="00331CEB"/>
    <w:rsid w:val="00331F0C"/>
    <w:rsid w:val="003366C3"/>
    <w:rsid w:val="00341029"/>
    <w:rsid w:val="00341DF6"/>
    <w:rsid w:val="003467AA"/>
    <w:rsid w:val="00347DED"/>
    <w:rsid w:val="0035266A"/>
    <w:rsid w:val="003533CB"/>
    <w:rsid w:val="003566C5"/>
    <w:rsid w:val="00357198"/>
    <w:rsid w:val="00360E2B"/>
    <w:rsid w:val="00362130"/>
    <w:rsid w:val="00362685"/>
    <w:rsid w:val="00362FDA"/>
    <w:rsid w:val="0036371B"/>
    <w:rsid w:val="00363840"/>
    <w:rsid w:val="00363D01"/>
    <w:rsid w:val="00364104"/>
    <w:rsid w:val="00365175"/>
    <w:rsid w:val="00365C3E"/>
    <w:rsid w:val="00365C92"/>
    <w:rsid w:val="00366870"/>
    <w:rsid w:val="00367676"/>
    <w:rsid w:val="003679CE"/>
    <w:rsid w:val="00371507"/>
    <w:rsid w:val="00372A41"/>
    <w:rsid w:val="00373358"/>
    <w:rsid w:val="003734A9"/>
    <w:rsid w:val="003749D0"/>
    <w:rsid w:val="003817C2"/>
    <w:rsid w:val="003821BD"/>
    <w:rsid w:val="00384A45"/>
    <w:rsid w:val="00385F8F"/>
    <w:rsid w:val="00394101"/>
    <w:rsid w:val="003961A8"/>
    <w:rsid w:val="00397B90"/>
    <w:rsid w:val="003A0AF8"/>
    <w:rsid w:val="003A2361"/>
    <w:rsid w:val="003A2D80"/>
    <w:rsid w:val="003A3825"/>
    <w:rsid w:val="003A45DB"/>
    <w:rsid w:val="003A6687"/>
    <w:rsid w:val="003B0701"/>
    <w:rsid w:val="003B09EB"/>
    <w:rsid w:val="003B1F2D"/>
    <w:rsid w:val="003B2517"/>
    <w:rsid w:val="003B3548"/>
    <w:rsid w:val="003B480F"/>
    <w:rsid w:val="003B5862"/>
    <w:rsid w:val="003B72A9"/>
    <w:rsid w:val="003B73C7"/>
    <w:rsid w:val="003C007A"/>
    <w:rsid w:val="003C09AC"/>
    <w:rsid w:val="003C5421"/>
    <w:rsid w:val="003C5430"/>
    <w:rsid w:val="003C73B6"/>
    <w:rsid w:val="003D00F6"/>
    <w:rsid w:val="003D4C25"/>
    <w:rsid w:val="003D5DF4"/>
    <w:rsid w:val="003D6A99"/>
    <w:rsid w:val="003D7227"/>
    <w:rsid w:val="003D76AD"/>
    <w:rsid w:val="003E0109"/>
    <w:rsid w:val="003E0447"/>
    <w:rsid w:val="003E21AD"/>
    <w:rsid w:val="003E2E33"/>
    <w:rsid w:val="003E7DA3"/>
    <w:rsid w:val="003F2113"/>
    <w:rsid w:val="003F35A5"/>
    <w:rsid w:val="003F5A49"/>
    <w:rsid w:val="00400065"/>
    <w:rsid w:val="00410FE8"/>
    <w:rsid w:val="00414963"/>
    <w:rsid w:val="00415251"/>
    <w:rsid w:val="0041630C"/>
    <w:rsid w:val="004164C2"/>
    <w:rsid w:val="004168DC"/>
    <w:rsid w:val="00417BA6"/>
    <w:rsid w:val="00417C44"/>
    <w:rsid w:val="00421132"/>
    <w:rsid w:val="0042116F"/>
    <w:rsid w:val="00421DAD"/>
    <w:rsid w:val="00422693"/>
    <w:rsid w:val="00422C44"/>
    <w:rsid w:val="0042569B"/>
    <w:rsid w:val="0042757A"/>
    <w:rsid w:val="00427866"/>
    <w:rsid w:val="0043223F"/>
    <w:rsid w:val="004430A5"/>
    <w:rsid w:val="0044367E"/>
    <w:rsid w:val="00446C65"/>
    <w:rsid w:val="004501AD"/>
    <w:rsid w:val="0045273A"/>
    <w:rsid w:val="00453647"/>
    <w:rsid w:val="0045369C"/>
    <w:rsid w:val="00453EAF"/>
    <w:rsid w:val="00454F13"/>
    <w:rsid w:val="00454FF9"/>
    <w:rsid w:val="00460AA2"/>
    <w:rsid w:val="00462399"/>
    <w:rsid w:val="004625C3"/>
    <w:rsid w:val="00465C8A"/>
    <w:rsid w:val="00466085"/>
    <w:rsid w:val="0046668A"/>
    <w:rsid w:val="00466DE8"/>
    <w:rsid w:val="00467D37"/>
    <w:rsid w:val="00475AAD"/>
    <w:rsid w:val="00476772"/>
    <w:rsid w:val="004807D8"/>
    <w:rsid w:val="0048492A"/>
    <w:rsid w:val="00485BF2"/>
    <w:rsid w:val="00486360"/>
    <w:rsid w:val="004870E5"/>
    <w:rsid w:val="00487AC8"/>
    <w:rsid w:val="00490108"/>
    <w:rsid w:val="00492ED3"/>
    <w:rsid w:val="00492EE9"/>
    <w:rsid w:val="00494A35"/>
    <w:rsid w:val="0049518C"/>
    <w:rsid w:val="004A008B"/>
    <w:rsid w:val="004A17F8"/>
    <w:rsid w:val="004A2A14"/>
    <w:rsid w:val="004A3ED8"/>
    <w:rsid w:val="004A44E9"/>
    <w:rsid w:val="004A4D27"/>
    <w:rsid w:val="004B2C1C"/>
    <w:rsid w:val="004B3011"/>
    <w:rsid w:val="004B3E4E"/>
    <w:rsid w:val="004B5B8D"/>
    <w:rsid w:val="004B702D"/>
    <w:rsid w:val="004B7A5D"/>
    <w:rsid w:val="004B7FFC"/>
    <w:rsid w:val="004C01E3"/>
    <w:rsid w:val="004C1824"/>
    <w:rsid w:val="004C1F8C"/>
    <w:rsid w:val="004C267E"/>
    <w:rsid w:val="004C2C97"/>
    <w:rsid w:val="004C3BFC"/>
    <w:rsid w:val="004C4655"/>
    <w:rsid w:val="004C5A96"/>
    <w:rsid w:val="004D1E7C"/>
    <w:rsid w:val="004D21F9"/>
    <w:rsid w:val="004D3C88"/>
    <w:rsid w:val="004D3EFD"/>
    <w:rsid w:val="004D4540"/>
    <w:rsid w:val="004D6C39"/>
    <w:rsid w:val="004E30ED"/>
    <w:rsid w:val="004E34DF"/>
    <w:rsid w:val="004E6514"/>
    <w:rsid w:val="004F0013"/>
    <w:rsid w:val="004F037B"/>
    <w:rsid w:val="004F1964"/>
    <w:rsid w:val="004F2741"/>
    <w:rsid w:val="004F2776"/>
    <w:rsid w:val="004F4A43"/>
    <w:rsid w:val="004F57EA"/>
    <w:rsid w:val="004F5A1F"/>
    <w:rsid w:val="0050673A"/>
    <w:rsid w:val="00507910"/>
    <w:rsid w:val="005101D8"/>
    <w:rsid w:val="005115F1"/>
    <w:rsid w:val="00513405"/>
    <w:rsid w:val="00516927"/>
    <w:rsid w:val="00517508"/>
    <w:rsid w:val="00517F47"/>
    <w:rsid w:val="00520B5C"/>
    <w:rsid w:val="00524AB5"/>
    <w:rsid w:val="0052553C"/>
    <w:rsid w:val="00530955"/>
    <w:rsid w:val="00530EBB"/>
    <w:rsid w:val="00531594"/>
    <w:rsid w:val="005339CE"/>
    <w:rsid w:val="0053608D"/>
    <w:rsid w:val="00536394"/>
    <w:rsid w:val="00536771"/>
    <w:rsid w:val="0054086A"/>
    <w:rsid w:val="00541820"/>
    <w:rsid w:val="00541912"/>
    <w:rsid w:val="00541962"/>
    <w:rsid w:val="00544A1E"/>
    <w:rsid w:val="005454F7"/>
    <w:rsid w:val="00546FF3"/>
    <w:rsid w:val="00552EA1"/>
    <w:rsid w:val="0055372B"/>
    <w:rsid w:val="0055628A"/>
    <w:rsid w:val="00556603"/>
    <w:rsid w:val="00561EBC"/>
    <w:rsid w:val="00562A80"/>
    <w:rsid w:val="005659BA"/>
    <w:rsid w:val="00565F47"/>
    <w:rsid w:val="005671EF"/>
    <w:rsid w:val="00571D74"/>
    <w:rsid w:val="00571DC0"/>
    <w:rsid w:val="00574D07"/>
    <w:rsid w:val="00580DD1"/>
    <w:rsid w:val="00581D61"/>
    <w:rsid w:val="00583885"/>
    <w:rsid w:val="0058457D"/>
    <w:rsid w:val="005849C6"/>
    <w:rsid w:val="00584C51"/>
    <w:rsid w:val="0059165F"/>
    <w:rsid w:val="0059180A"/>
    <w:rsid w:val="00594812"/>
    <w:rsid w:val="00597492"/>
    <w:rsid w:val="005977CD"/>
    <w:rsid w:val="005A198A"/>
    <w:rsid w:val="005A2D99"/>
    <w:rsid w:val="005A556A"/>
    <w:rsid w:val="005A6A03"/>
    <w:rsid w:val="005B1387"/>
    <w:rsid w:val="005B39F5"/>
    <w:rsid w:val="005B3CF3"/>
    <w:rsid w:val="005B45D9"/>
    <w:rsid w:val="005B4677"/>
    <w:rsid w:val="005B6672"/>
    <w:rsid w:val="005C038C"/>
    <w:rsid w:val="005C09C3"/>
    <w:rsid w:val="005C1F40"/>
    <w:rsid w:val="005C26E6"/>
    <w:rsid w:val="005C297C"/>
    <w:rsid w:val="005C50DE"/>
    <w:rsid w:val="005C669E"/>
    <w:rsid w:val="005C6BAF"/>
    <w:rsid w:val="005D120E"/>
    <w:rsid w:val="005D2420"/>
    <w:rsid w:val="005E0B51"/>
    <w:rsid w:val="005E18E3"/>
    <w:rsid w:val="005E3AA1"/>
    <w:rsid w:val="005E3DDF"/>
    <w:rsid w:val="005E4F8C"/>
    <w:rsid w:val="005E5481"/>
    <w:rsid w:val="005E5539"/>
    <w:rsid w:val="005E72A8"/>
    <w:rsid w:val="005F13C2"/>
    <w:rsid w:val="005F37DF"/>
    <w:rsid w:val="005F3B95"/>
    <w:rsid w:val="005F559B"/>
    <w:rsid w:val="005F62F0"/>
    <w:rsid w:val="005F695B"/>
    <w:rsid w:val="006013DE"/>
    <w:rsid w:val="00602310"/>
    <w:rsid w:val="00603E1C"/>
    <w:rsid w:val="00606E51"/>
    <w:rsid w:val="0061010F"/>
    <w:rsid w:val="0061385D"/>
    <w:rsid w:val="00614576"/>
    <w:rsid w:val="00615303"/>
    <w:rsid w:val="006163F2"/>
    <w:rsid w:val="00617AA3"/>
    <w:rsid w:val="00620D63"/>
    <w:rsid w:val="006231AA"/>
    <w:rsid w:val="0062393E"/>
    <w:rsid w:val="00624117"/>
    <w:rsid w:val="00624500"/>
    <w:rsid w:val="00626118"/>
    <w:rsid w:val="00626FA9"/>
    <w:rsid w:val="00627FC7"/>
    <w:rsid w:val="00630A1C"/>
    <w:rsid w:val="0063172A"/>
    <w:rsid w:val="00634058"/>
    <w:rsid w:val="00634059"/>
    <w:rsid w:val="006340B5"/>
    <w:rsid w:val="00635984"/>
    <w:rsid w:val="00636C5D"/>
    <w:rsid w:val="00640096"/>
    <w:rsid w:val="00641597"/>
    <w:rsid w:val="00645DC0"/>
    <w:rsid w:val="00660043"/>
    <w:rsid w:val="006658FD"/>
    <w:rsid w:val="0067037C"/>
    <w:rsid w:val="006705E0"/>
    <w:rsid w:val="00670BEC"/>
    <w:rsid w:val="006724DC"/>
    <w:rsid w:val="0067485A"/>
    <w:rsid w:val="006755C2"/>
    <w:rsid w:val="00680CAD"/>
    <w:rsid w:val="00681F30"/>
    <w:rsid w:val="00682237"/>
    <w:rsid w:val="00682B9C"/>
    <w:rsid w:val="0068357D"/>
    <w:rsid w:val="00683EB7"/>
    <w:rsid w:val="0068713A"/>
    <w:rsid w:val="0069583C"/>
    <w:rsid w:val="006A0A50"/>
    <w:rsid w:val="006A5038"/>
    <w:rsid w:val="006A535A"/>
    <w:rsid w:val="006A7A1E"/>
    <w:rsid w:val="006B36EE"/>
    <w:rsid w:val="006B752A"/>
    <w:rsid w:val="006B7F97"/>
    <w:rsid w:val="006C29E2"/>
    <w:rsid w:val="006C3937"/>
    <w:rsid w:val="006C57C7"/>
    <w:rsid w:val="006C5E75"/>
    <w:rsid w:val="006C6C5C"/>
    <w:rsid w:val="006C7615"/>
    <w:rsid w:val="006D0A65"/>
    <w:rsid w:val="006D0B4B"/>
    <w:rsid w:val="006D0B9C"/>
    <w:rsid w:val="006D0CD7"/>
    <w:rsid w:val="006D125F"/>
    <w:rsid w:val="006D609F"/>
    <w:rsid w:val="006E0808"/>
    <w:rsid w:val="006E0C83"/>
    <w:rsid w:val="006E0F6E"/>
    <w:rsid w:val="006E26F4"/>
    <w:rsid w:val="006E561B"/>
    <w:rsid w:val="006E6138"/>
    <w:rsid w:val="006E7E40"/>
    <w:rsid w:val="006F0048"/>
    <w:rsid w:val="006F0C30"/>
    <w:rsid w:val="006F1F29"/>
    <w:rsid w:val="006F6DFA"/>
    <w:rsid w:val="007031AC"/>
    <w:rsid w:val="007045A7"/>
    <w:rsid w:val="007056CF"/>
    <w:rsid w:val="00707AC6"/>
    <w:rsid w:val="007101BF"/>
    <w:rsid w:val="00710E18"/>
    <w:rsid w:val="00711D73"/>
    <w:rsid w:val="00712437"/>
    <w:rsid w:val="00712AB9"/>
    <w:rsid w:val="00712FBB"/>
    <w:rsid w:val="007202B8"/>
    <w:rsid w:val="007204CB"/>
    <w:rsid w:val="00725DCC"/>
    <w:rsid w:val="007264E7"/>
    <w:rsid w:val="00726549"/>
    <w:rsid w:val="00731470"/>
    <w:rsid w:val="00731E75"/>
    <w:rsid w:val="0073473A"/>
    <w:rsid w:val="00734C96"/>
    <w:rsid w:val="00734FEE"/>
    <w:rsid w:val="00740C34"/>
    <w:rsid w:val="007421A3"/>
    <w:rsid w:val="007458E4"/>
    <w:rsid w:val="00747A74"/>
    <w:rsid w:val="007516CF"/>
    <w:rsid w:val="00752B5B"/>
    <w:rsid w:val="00753B18"/>
    <w:rsid w:val="00761B09"/>
    <w:rsid w:val="00762130"/>
    <w:rsid w:val="0076307E"/>
    <w:rsid w:val="00772F41"/>
    <w:rsid w:val="0077521B"/>
    <w:rsid w:val="00776554"/>
    <w:rsid w:val="007811AB"/>
    <w:rsid w:val="00785E4F"/>
    <w:rsid w:val="0078680E"/>
    <w:rsid w:val="00792109"/>
    <w:rsid w:val="007928C7"/>
    <w:rsid w:val="007928D4"/>
    <w:rsid w:val="00793E36"/>
    <w:rsid w:val="00793EE0"/>
    <w:rsid w:val="007948D9"/>
    <w:rsid w:val="00794D26"/>
    <w:rsid w:val="0079588C"/>
    <w:rsid w:val="007A0AF9"/>
    <w:rsid w:val="007A1673"/>
    <w:rsid w:val="007A33CF"/>
    <w:rsid w:val="007A458B"/>
    <w:rsid w:val="007A47AB"/>
    <w:rsid w:val="007A47D0"/>
    <w:rsid w:val="007B00AD"/>
    <w:rsid w:val="007B0760"/>
    <w:rsid w:val="007B58FB"/>
    <w:rsid w:val="007B6A98"/>
    <w:rsid w:val="007B7EE3"/>
    <w:rsid w:val="007C035E"/>
    <w:rsid w:val="007C0EC0"/>
    <w:rsid w:val="007C6BBE"/>
    <w:rsid w:val="007C75FA"/>
    <w:rsid w:val="007D0F9A"/>
    <w:rsid w:val="007D4329"/>
    <w:rsid w:val="007D4552"/>
    <w:rsid w:val="007D49B8"/>
    <w:rsid w:val="007D57B6"/>
    <w:rsid w:val="007D6457"/>
    <w:rsid w:val="007D759B"/>
    <w:rsid w:val="007E1CC4"/>
    <w:rsid w:val="007E2D1B"/>
    <w:rsid w:val="007E377A"/>
    <w:rsid w:val="007E422B"/>
    <w:rsid w:val="007E6064"/>
    <w:rsid w:val="007E6F85"/>
    <w:rsid w:val="007F0A36"/>
    <w:rsid w:val="007F5B57"/>
    <w:rsid w:val="007F707C"/>
    <w:rsid w:val="0080097C"/>
    <w:rsid w:val="00803317"/>
    <w:rsid w:val="008050C5"/>
    <w:rsid w:val="008134A8"/>
    <w:rsid w:val="00816305"/>
    <w:rsid w:val="0081690D"/>
    <w:rsid w:val="008227C0"/>
    <w:rsid w:val="00822F18"/>
    <w:rsid w:val="008237AE"/>
    <w:rsid w:val="008245C9"/>
    <w:rsid w:val="00831DA8"/>
    <w:rsid w:val="008338E9"/>
    <w:rsid w:val="0083456A"/>
    <w:rsid w:val="00836C91"/>
    <w:rsid w:val="00837E5D"/>
    <w:rsid w:val="008400A9"/>
    <w:rsid w:val="00844881"/>
    <w:rsid w:val="008463B9"/>
    <w:rsid w:val="00851111"/>
    <w:rsid w:val="0085139E"/>
    <w:rsid w:val="00851BAA"/>
    <w:rsid w:val="00854839"/>
    <w:rsid w:val="00855CDD"/>
    <w:rsid w:val="00857895"/>
    <w:rsid w:val="00860209"/>
    <w:rsid w:val="00861447"/>
    <w:rsid w:val="00862F1A"/>
    <w:rsid w:val="008661D3"/>
    <w:rsid w:val="00866DC9"/>
    <w:rsid w:val="00867868"/>
    <w:rsid w:val="00867964"/>
    <w:rsid w:val="00867F26"/>
    <w:rsid w:val="00870B1C"/>
    <w:rsid w:val="00871FDA"/>
    <w:rsid w:val="00875E76"/>
    <w:rsid w:val="008760F4"/>
    <w:rsid w:val="00876C9B"/>
    <w:rsid w:val="00880E46"/>
    <w:rsid w:val="00884EE0"/>
    <w:rsid w:val="00885021"/>
    <w:rsid w:val="008857F3"/>
    <w:rsid w:val="0089097C"/>
    <w:rsid w:val="008913F6"/>
    <w:rsid w:val="00892C3E"/>
    <w:rsid w:val="00893234"/>
    <w:rsid w:val="008978BC"/>
    <w:rsid w:val="00897B8F"/>
    <w:rsid w:val="008A00DE"/>
    <w:rsid w:val="008A1135"/>
    <w:rsid w:val="008A5579"/>
    <w:rsid w:val="008A7105"/>
    <w:rsid w:val="008B23ED"/>
    <w:rsid w:val="008B2687"/>
    <w:rsid w:val="008B3CF6"/>
    <w:rsid w:val="008B6E3E"/>
    <w:rsid w:val="008C22C3"/>
    <w:rsid w:val="008C2872"/>
    <w:rsid w:val="008C4E93"/>
    <w:rsid w:val="008C5174"/>
    <w:rsid w:val="008C5331"/>
    <w:rsid w:val="008C7EF1"/>
    <w:rsid w:val="008D1C6E"/>
    <w:rsid w:val="008D589B"/>
    <w:rsid w:val="008D5F36"/>
    <w:rsid w:val="008D6F39"/>
    <w:rsid w:val="008D74D8"/>
    <w:rsid w:val="008E45DD"/>
    <w:rsid w:val="008E5BEA"/>
    <w:rsid w:val="008E61CF"/>
    <w:rsid w:val="008E62F3"/>
    <w:rsid w:val="008E66A7"/>
    <w:rsid w:val="008E7BD2"/>
    <w:rsid w:val="008F0027"/>
    <w:rsid w:val="008F13F4"/>
    <w:rsid w:val="008F2248"/>
    <w:rsid w:val="008F429A"/>
    <w:rsid w:val="008F4809"/>
    <w:rsid w:val="008F4885"/>
    <w:rsid w:val="008F69B0"/>
    <w:rsid w:val="008F6DFC"/>
    <w:rsid w:val="00900FA9"/>
    <w:rsid w:val="00901C9D"/>
    <w:rsid w:val="0090254E"/>
    <w:rsid w:val="0090397D"/>
    <w:rsid w:val="00903B8A"/>
    <w:rsid w:val="0090531F"/>
    <w:rsid w:val="00907F35"/>
    <w:rsid w:val="0091449C"/>
    <w:rsid w:val="00915C0A"/>
    <w:rsid w:val="00916394"/>
    <w:rsid w:val="00916C61"/>
    <w:rsid w:val="00920BE6"/>
    <w:rsid w:val="00920D54"/>
    <w:rsid w:val="00922E91"/>
    <w:rsid w:val="009253A2"/>
    <w:rsid w:val="009260F9"/>
    <w:rsid w:val="00926811"/>
    <w:rsid w:val="009328BD"/>
    <w:rsid w:val="0093469C"/>
    <w:rsid w:val="00940D53"/>
    <w:rsid w:val="00942081"/>
    <w:rsid w:val="009447BD"/>
    <w:rsid w:val="0095085C"/>
    <w:rsid w:val="00950D6C"/>
    <w:rsid w:val="00952B8F"/>
    <w:rsid w:val="00955935"/>
    <w:rsid w:val="00956877"/>
    <w:rsid w:val="009574EE"/>
    <w:rsid w:val="00964F16"/>
    <w:rsid w:val="0096690F"/>
    <w:rsid w:val="0096729D"/>
    <w:rsid w:val="00967A7A"/>
    <w:rsid w:val="00970692"/>
    <w:rsid w:val="00971686"/>
    <w:rsid w:val="00973719"/>
    <w:rsid w:val="00973845"/>
    <w:rsid w:val="009743E5"/>
    <w:rsid w:val="0097647D"/>
    <w:rsid w:val="00983A52"/>
    <w:rsid w:val="00984B13"/>
    <w:rsid w:val="00986AE7"/>
    <w:rsid w:val="00987773"/>
    <w:rsid w:val="00987A32"/>
    <w:rsid w:val="00987DB5"/>
    <w:rsid w:val="00993600"/>
    <w:rsid w:val="0099428B"/>
    <w:rsid w:val="00997D11"/>
    <w:rsid w:val="009A0526"/>
    <w:rsid w:val="009A0A96"/>
    <w:rsid w:val="009A271D"/>
    <w:rsid w:val="009A44F9"/>
    <w:rsid w:val="009A70D5"/>
    <w:rsid w:val="009B2507"/>
    <w:rsid w:val="009B2E8E"/>
    <w:rsid w:val="009B3004"/>
    <w:rsid w:val="009B348C"/>
    <w:rsid w:val="009B482A"/>
    <w:rsid w:val="009B7712"/>
    <w:rsid w:val="009B7B83"/>
    <w:rsid w:val="009C0636"/>
    <w:rsid w:val="009C08BA"/>
    <w:rsid w:val="009C6F0A"/>
    <w:rsid w:val="009C6F32"/>
    <w:rsid w:val="009C797B"/>
    <w:rsid w:val="009D02E8"/>
    <w:rsid w:val="009D0C05"/>
    <w:rsid w:val="009D2B82"/>
    <w:rsid w:val="009D4274"/>
    <w:rsid w:val="009D461F"/>
    <w:rsid w:val="009D5C53"/>
    <w:rsid w:val="009D5D74"/>
    <w:rsid w:val="009D622C"/>
    <w:rsid w:val="009D661E"/>
    <w:rsid w:val="009E1268"/>
    <w:rsid w:val="009E5AB3"/>
    <w:rsid w:val="009E61F7"/>
    <w:rsid w:val="009E7BE7"/>
    <w:rsid w:val="009E7EB2"/>
    <w:rsid w:val="009F145D"/>
    <w:rsid w:val="009F17D1"/>
    <w:rsid w:val="009F7CAB"/>
    <w:rsid w:val="00A011F7"/>
    <w:rsid w:val="00A02E6E"/>
    <w:rsid w:val="00A03F22"/>
    <w:rsid w:val="00A064C9"/>
    <w:rsid w:val="00A0662C"/>
    <w:rsid w:val="00A12624"/>
    <w:rsid w:val="00A1407B"/>
    <w:rsid w:val="00A14B13"/>
    <w:rsid w:val="00A14B40"/>
    <w:rsid w:val="00A15BF3"/>
    <w:rsid w:val="00A15C5A"/>
    <w:rsid w:val="00A16B62"/>
    <w:rsid w:val="00A17FEB"/>
    <w:rsid w:val="00A20772"/>
    <w:rsid w:val="00A214C8"/>
    <w:rsid w:val="00A21567"/>
    <w:rsid w:val="00A215C7"/>
    <w:rsid w:val="00A22C2D"/>
    <w:rsid w:val="00A24B13"/>
    <w:rsid w:val="00A25794"/>
    <w:rsid w:val="00A30451"/>
    <w:rsid w:val="00A3148A"/>
    <w:rsid w:val="00A324AB"/>
    <w:rsid w:val="00A33C11"/>
    <w:rsid w:val="00A34E09"/>
    <w:rsid w:val="00A35B35"/>
    <w:rsid w:val="00A4172A"/>
    <w:rsid w:val="00A44A6C"/>
    <w:rsid w:val="00A45819"/>
    <w:rsid w:val="00A4687A"/>
    <w:rsid w:val="00A47350"/>
    <w:rsid w:val="00A47C08"/>
    <w:rsid w:val="00A517BC"/>
    <w:rsid w:val="00A52F47"/>
    <w:rsid w:val="00A54695"/>
    <w:rsid w:val="00A54D83"/>
    <w:rsid w:val="00A61F5C"/>
    <w:rsid w:val="00A63384"/>
    <w:rsid w:val="00A6416E"/>
    <w:rsid w:val="00A71754"/>
    <w:rsid w:val="00A717E7"/>
    <w:rsid w:val="00A71EDB"/>
    <w:rsid w:val="00A74152"/>
    <w:rsid w:val="00A757D1"/>
    <w:rsid w:val="00A76A28"/>
    <w:rsid w:val="00A8284E"/>
    <w:rsid w:val="00A83243"/>
    <w:rsid w:val="00A83CC9"/>
    <w:rsid w:val="00A8789C"/>
    <w:rsid w:val="00A90111"/>
    <w:rsid w:val="00A91528"/>
    <w:rsid w:val="00A95196"/>
    <w:rsid w:val="00A9738A"/>
    <w:rsid w:val="00AA1EFF"/>
    <w:rsid w:val="00AA5115"/>
    <w:rsid w:val="00AB14C7"/>
    <w:rsid w:val="00AB2264"/>
    <w:rsid w:val="00AB4E47"/>
    <w:rsid w:val="00AB67F7"/>
    <w:rsid w:val="00AC054F"/>
    <w:rsid w:val="00AC0715"/>
    <w:rsid w:val="00AC146C"/>
    <w:rsid w:val="00AC1F76"/>
    <w:rsid w:val="00AC2615"/>
    <w:rsid w:val="00AC5AB5"/>
    <w:rsid w:val="00AC64D8"/>
    <w:rsid w:val="00AD12D2"/>
    <w:rsid w:val="00AD1729"/>
    <w:rsid w:val="00AD2774"/>
    <w:rsid w:val="00AD3941"/>
    <w:rsid w:val="00AD5261"/>
    <w:rsid w:val="00AE0009"/>
    <w:rsid w:val="00AE357A"/>
    <w:rsid w:val="00AE38B2"/>
    <w:rsid w:val="00AE5A4E"/>
    <w:rsid w:val="00AE76F9"/>
    <w:rsid w:val="00AF3694"/>
    <w:rsid w:val="00AF4B9E"/>
    <w:rsid w:val="00AF6636"/>
    <w:rsid w:val="00B11692"/>
    <w:rsid w:val="00B14116"/>
    <w:rsid w:val="00B1486E"/>
    <w:rsid w:val="00B15BDD"/>
    <w:rsid w:val="00B20443"/>
    <w:rsid w:val="00B2550B"/>
    <w:rsid w:val="00B259CE"/>
    <w:rsid w:val="00B25B50"/>
    <w:rsid w:val="00B30680"/>
    <w:rsid w:val="00B31DD7"/>
    <w:rsid w:val="00B32CAF"/>
    <w:rsid w:val="00B33432"/>
    <w:rsid w:val="00B336D5"/>
    <w:rsid w:val="00B35F18"/>
    <w:rsid w:val="00B3657C"/>
    <w:rsid w:val="00B42372"/>
    <w:rsid w:val="00B423A4"/>
    <w:rsid w:val="00B437D6"/>
    <w:rsid w:val="00B43AB0"/>
    <w:rsid w:val="00B4446B"/>
    <w:rsid w:val="00B523FB"/>
    <w:rsid w:val="00B52E8F"/>
    <w:rsid w:val="00B5413F"/>
    <w:rsid w:val="00B5525E"/>
    <w:rsid w:val="00B57738"/>
    <w:rsid w:val="00B62E05"/>
    <w:rsid w:val="00B63137"/>
    <w:rsid w:val="00B63604"/>
    <w:rsid w:val="00B63FA9"/>
    <w:rsid w:val="00B64379"/>
    <w:rsid w:val="00B650CC"/>
    <w:rsid w:val="00B707BD"/>
    <w:rsid w:val="00B71457"/>
    <w:rsid w:val="00B72997"/>
    <w:rsid w:val="00B750BF"/>
    <w:rsid w:val="00B75217"/>
    <w:rsid w:val="00B776B5"/>
    <w:rsid w:val="00B81AFD"/>
    <w:rsid w:val="00B85442"/>
    <w:rsid w:val="00B90851"/>
    <w:rsid w:val="00B91090"/>
    <w:rsid w:val="00B926B7"/>
    <w:rsid w:val="00B94A3A"/>
    <w:rsid w:val="00B95094"/>
    <w:rsid w:val="00BA0EC1"/>
    <w:rsid w:val="00BA5FF1"/>
    <w:rsid w:val="00BA7533"/>
    <w:rsid w:val="00BB281A"/>
    <w:rsid w:val="00BC04BD"/>
    <w:rsid w:val="00BC4096"/>
    <w:rsid w:val="00BC65BA"/>
    <w:rsid w:val="00BD55FE"/>
    <w:rsid w:val="00BD75D2"/>
    <w:rsid w:val="00BE0383"/>
    <w:rsid w:val="00BE07A0"/>
    <w:rsid w:val="00BE1C3A"/>
    <w:rsid w:val="00BE611C"/>
    <w:rsid w:val="00BE70FF"/>
    <w:rsid w:val="00BF1079"/>
    <w:rsid w:val="00BF1D2D"/>
    <w:rsid w:val="00BF2768"/>
    <w:rsid w:val="00BF5859"/>
    <w:rsid w:val="00BF6DFF"/>
    <w:rsid w:val="00C00048"/>
    <w:rsid w:val="00C00239"/>
    <w:rsid w:val="00C00828"/>
    <w:rsid w:val="00C05982"/>
    <w:rsid w:val="00C068F5"/>
    <w:rsid w:val="00C11842"/>
    <w:rsid w:val="00C12994"/>
    <w:rsid w:val="00C1363B"/>
    <w:rsid w:val="00C14D24"/>
    <w:rsid w:val="00C1538F"/>
    <w:rsid w:val="00C15926"/>
    <w:rsid w:val="00C16139"/>
    <w:rsid w:val="00C16B14"/>
    <w:rsid w:val="00C17609"/>
    <w:rsid w:val="00C177ED"/>
    <w:rsid w:val="00C2265C"/>
    <w:rsid w:val="00C23420"/>
    <w:rsid w:val="00C30985"/>
    <w:rsid w:val="00C33BB9"/>
    <w:rsid w:val="00C3464B"/>
    <w:rsid w:val="00C35140"/>
    <w:rsid w:val="00C35A34"/>
    <w:rsid w:val="00C3715A"/>
    <w:rsid w:val="00C421FF"/>
    <w:rsid w:val="00C425BE"/>
    <w:rsid w:val="00C44387"/>
    <w:rsid w:val="00C44F2B"/>
    <w:rsid w:val="00C545D3"/>
    <w:rsid w:val="00C54A8C"/>
    <w:rsid w:val="00C56388"/>
    <w:rsid w:val="00C5675C"/>
    <w:rsid w:val="00C571C0"/>
    <w:rsid w:val="00C61233"/>
    <w:rsid w:val="00C61911"/>
    <w:rsid w:val="00C627D8"/>
    <w:rsid w:val="00C62EB5"/>
    <w:rsid w:val="00C65EB9"/>
    <w:rsid w:val="00C718D9"/>
    <w:rsid w:val="00C72850"/>
    <w:rsid w:val="00C73632"/>
    <w:rsid w:val="00C75175"/>
    <w:rsid w:val="00C7543D"/>
    <w:rsid w:val="00C759F9"/>
    <w:rsid w:val="00C75EE7"/>
    <w:rsid w:val="00C766E1"/>
    <w:rsid w:val="00C777E7"/>
    <w:rsid w:val="00C81E92"/>
    <w:rsid w:val="00C837C1"/>
    <w:rsid w:val="00C91398"/>
    <w:rsid w:val="00C92269"/>
    <w:rsid w:val="00C92ED2"/>
    <w:rsid w:val="00C93239"/>
    <w:rsid w:val="00C94BF8"/>
    <w:rsid w:val="00C94F86"/>
    <w:rsid w:val="00CA180E"/>
    <w:rsid w:val="00CA23F1"/>
    <w:rsid w:val="00CA3D05"/>
    <w:rsid w:val="00CA4DB3"/>
    <w:rsid w:val="00CA574E"/>
    <w:rsid w:val="00CA69FF"/>
    <w:rsid w:val="00CA7FEE"/>
    <w:rsid w:val="00CB0B37"/>
    <w:rsid w:val="00CB0CBA"/>
    <w:rsid w:val="00CB11FA"/>
    <w:rsid w:val="00CC0138"/>
    <w:rsid w:val="00CC1F38"/>
    <w:rsid w:val="00CC4D3B"/>
    <w:rsid w:val="00CC6328"/>
    <w:rsid w:val="00CC69B1"/>
    <w:rsid w:val="00CC722D"/>
    <w:rsid w:val="00CC7D94"/>
    <w:rsid w:val="00CD17D9"/>
    <w:rsid w:val="00CD218F"/>
    <w:rsid w:val="00CD417B"/>
    <w:rsid w:val="00CD4EA9"/>
    <w:rsid w:val="00CD56C4"/>
    <w:rsid w:val="00CD6CA5"/>
    <w:rsid w:val="00CE0A40"/>
    <w:rsid w:val="00CE0C33"/>
    <w:rsid w:val="00CE2480"/>
    <w:rsid w:val="00CE3871"/>
    <w:rsid w:val="00CE39D5"/>
    <w:rsid w:val="00CE5C29"/>
    <w:rsid w:val="00CE7671"/>
    <w:rsid w:val="00CF1043"/>
    <w:rsid w:val="00CF1336"/>
    <w:rsid w:val="00CF2265"/>
    <w:rsid w:val="00CF32D4"/>
    <w:rsid w:val="00CF38DA"/>
    <w:rsid w:val="00CF68C2"/>
    <w:rsid w:val="00CF6B12"/>
    <w:rsid w:val="00CF6CA8"/>
    <w:rsid w:val="00CF797E"/>
    <w:rsid w:val="00D01079"/>
    <w:rsid w:val="00D018E6"/>
    <w:rsid w:val="00D02059"/>
    <w:rsid w:val="00D02D89"/>
    <w:rsid w:val="00D03B55"/>
    <w:rsid w:val="00D04D65"/>
    <w:rsid w:val="00D063F2"/>
    <w:rsid w:val="00D06DB2"/>
    <w:rsid w:val="00D10FDF"/>
    <w:rsid w:val="00D1111C"/>
    <w:rsid w:val="00D15CC8"/>
    <w:rsid w:val="00D20615"/>
    <w:rsid w:val="00D20796"/>
    <w:rsid w:val="00D2538D"/>
    <w:rsid w:val="00D268C9"/>
    <w:rsid w:val="00D300A3"/>
    <w:rsid w:val="00D301ED"/>
    <w:rsid w:val="00D313B0"/>
    <w:rsid w:val="00D319D4"/>
    <w:rsid w:val="00D32569"/>
    <w:rsid w:val="00D33B92"/>
    <w:rsid w:val="00D36569"/>
    <w:rsid w:val="00D36FBF"/>
    <w:rsid w:val="00D40062"/>
    <w:rsid w:val="00D405E7"/>
    <w:rsid w:val="00D4133A"/>
    <w:rsid w:val="00D436F6"/>
    <w:rsid w:val="00D440FF"/>
    <w:rsid w:val="00D44DD1"/>
    <w:rsid w:val="00D50BC2"/>
    <w:rsid w:val="00D515C2"/>
    <w:rsid w:val="00D53B9C"/>
    <w:rsid w:val="00D5622E"/>
    <w:rsid w:val="00D570CE"/>
    <w:rsid w:val="00D66F14"/>
    <w:rsid w:val="00D679C1"/>
    <w:rsid w:val="00D67A9D"/>
    <w:rsid w:val="00D72E7C"/>
    <w:rsid w:val="00D7638B"/>
    <w:rsid w:val="00D76DCC"/>
    <w:rsid w:val="00D77D9E"/>
    <w:rsid w:val="00D81C8D"/>
    <w:rsid w:val="00D81D6D"/>
    <w:rsid w:val="00D8340F"/>
    <w:rsid w:val="00D85D70"/>
    <w:rsid w:val="00D86400"/>
    <w:rsid w:val="00D867D6"/>
    <w:rsid w:val="00D868DE"/>
    <w:rsid w:val="00D90503"/>
    <w:rsid w:val="00D94A33"/>
    <w:rsid w:val="00D97FE0"/>
    <w:rsid w:val="00DA1C78"/>
    <w:rsid w:val="00DA2F03"/>
    <w:rsid w:val="00DA6875"/>
    <w:rsid w:val="00DB0107"/>
    <w:rsid w:val="00DB0723"/>
    <w:rsid w:val="00DB18E3"/>
    <w:rsid w:val="00DB297D"/>
    <w:rsid w:val="00DB4314"/>
    <w:rsid w:val="00DB6163"/>
    <w:rsid w:val="00DB66A1"/>
    <w:rsid w:val="00DB75D0"/>
    <w:rsid w:val="00DB7C7C"/>
    <w:rsid w:val="00DB7D3B"/>
    <w:rsid w:val="00DC04D3"/>
    <w:rsid w:val="00DC0A19"/>
    <w:rsid w:val="00DC0C8E"/>
    <w:rsid w:val="00DC1BE6"/>
    <w:rsid w:val="00DC758E"/>
    <w:rsid w:val="00DD1317"/>
    <w:rsid w:val="00DD2F1D"/>
    <w:rsid w:val="00DD60CF"/>
    <w:rsid w:val="00DE02C0"/>
    <w:rsid w:val="00DE0C01"/>
    <w:rsid w:val="00DE10B2"/>
    <w:rsid w:val="00DE3797"/>
    <w:rsid w:val="00DE5AB2"/>
    <w:rsid w:val="00DE671D"/>
    <w:rsid w:val="00DE6EFC"/>
    <w:rsid w:val="00DF4497"/>
    <w:rsid w:val="00DF4D3B"/>
    <w:rsid w:val="00DF4E4D"/>
    <w:rsid w:val="00DF715B"/>
    <w:rsid w:val="00E00C09"/>
    <w:rsid w:val="00E01840"/>
    <w:rsid w:val="00E03760"/>
    <w:rsid w:val="00E03EFD"/>
    <w:rsid w:val="00E0782E"/>
    <w:rsid w:val="00E07EFA"/>
    <w:rsid w:val="00E10D0C"/>
    <w:rsid w:val="00E10E49"/>
    <w:rsid w:val="00E16966"/>
    <w:rsid w:val="00E16B58"/>
    <w:rsid w:val="00E173A4"/>
    <w:rsid w:val="00E1777D"/>
    <w:rsid w:val="00E20B76"/>
    <w:rsid w:val="00E21B6D"/>
    <w:rsid w:val="00E22996"/>
    <w:rsid w:val="00E319E4"/>
    <w:rsid w:val="00E34FE8"/>
    <w:rsid w:val="00E368CB"/>
    <w:rsid w:val="00E377D4"/>
    <w:rsid w:val="00E406E1"/>
    <w:rsid w:val="00E4111A"/>
    <w:rsid w:val="00E418B7"/>
    <w:rsid w:val="00E419D1"/>
    <w:rsid w:val="00E41A8F"/>
    <w:rsid w:val="00E41A9E"/>
    <w:rsid w:val="00E425CE"/>
    <w:rsid w:val="00E47A9E"/>
    <w:rsid w:val="00E52810"/>
    <w:rsid w:val="00E57D01"/>
    <w:rsid w:val="00E61E2A"/>
    <w:rsid w:val="00E62870"/>
    <w:rsid w:val="00E63015"/>
    <w:rsid w:val="00E70E68"/>
    <w:rsid w:val="00E7106D"/>
    <w:rsid w:val="00E718C8"/>
    <w:rsid w:val="00E7401E"/>
    <w:rsid w:val="00E762FB"/>
    <w:rsid w:val="00E80422"/>
    <w:rsid w:val="00E81DDF"/>
    <w:rsid w:val="00E82791"/>
    <w:rsid w:val="00E8332D"/>
    <w:rsid w:val="00E85DFB"/>
    <w:rsid w:val="00E85F74"/>
    <w:rsid w:val="00E865C1"/>
    <w:rsid w:val="00E87CCD"/>
    <w:rsid w:val="00E92BD8"/>
    <w:rsid w:val="00E92C08"/>
    <w:rsid w:val="00E94054"/>
    <w:rsid w:val="00E94B32"/>
    <w:rsid w:val="00E94F48"/>
    <w:rsid w:val="00E95A5B"/>
    <w:rsid w:val="00EA02B6"/>
    <w:rsid w:val="00EA1009"/>
    <w:rsid w:val="00EA39E3"/>
    <w:rsid w:val="00EA50FC"/>
    <w:rsid w:val="00EA6123"/>
    <w:rsid w:val="00EB170B"/>
    <w:rsid w:val="00EB290D"/>
    <w:rsid w:val="00EB632A"/>
    <w:rsid w:val="00EC36BC"/>
    <w:rsid w:val="00ED2203"/>
    <w:rsid w:val="00ED2569"/>
    <w:rsid w:val="00ED25B1"/>
    <w:rsid w:val="00ED7FAF"/>
    <w:rsid w:val="00EE0104"/>
    <w:rsid w:val="00EE07DA"/>
    <w:rsid w:val="00EE2AD2"/>
    <w:rsid w:val="00EE324B"/>
    <w:rsid w:val="00EE56CB"/>
    <w:rsid w:val="00EE6C48"/>
    <w:rsid w:val="00EE7FDD"/>
    <w:rsid w:val="00EF0079"/>
    <w:rsid w:val="00EF3E79"/>
    <w:rsid w:val="00EF4E25"/>
    <w:rsid w:val="00EF771A"/>
    <w:rsid w:val="00F009EB"/>
    <w:rsid w:val="00F03DD9"/>
    <w:rsid w:val="00F04E9A"/>
    <w:rsid w:val="00F06A8A"/>
    <w:rsid w:val="00F0761C"/>
    <w:rsid w:val="00F1054C"/>
    <w:rsid w:val="00F11975"/>
    <w:rsid w:val="00F1246B"/>
    <w:rsid w:val="00F243C8"/>
    <w:rsid w:val="00F24E11"/>
    <w:rsid w:val="00F26D6A"/>
    <w:rsid w:val="00F304A9"/>
    <w:rsid w:val="00F30C1A"/>
    <w:rsid w:val="00F3139D"/>
    <w:rsid w:val="00F33F84"/>
    <w:rsid w:val="00F3568E"/>
    <w:rsid w:val="00F35A11"/>
    <w:rsid w:val="00F400ED"/>
    <w:rsid w:val="00F420CC"/>
    <w:rsid w:val="00F43840"/>
    <w:rsid w:val="00F43BBA"/>
    <w:rsid w:val="00F46253"/>
    <w:rsid w:val="00F50479"/>
    <w:rsid w:val="00F507CD"/>
    <w:rsid w:val="00F52083"/>
    <w:rsid w:val="00F52525"/>
    <w:rsid w:val="00F53C91"/>
    <w:rsid w:val="00F56191"/>
    <w:rsid w:val="00F6000A"/>
    <w:rsid w:val="00F64BB0"/>
    <w:rsid w:val="00F709AA"/>
    <w:rsid w:val="00F72CA9"/>
    <w:rsid w:val="00F72CCB"/>
    <w:rsid w:val="00F73A79"/>
    <w:rsid w:val="00F75244"/>
    <w:rsid w:val="00F801B9"/>
    <w:rsid w:val="00F8304C"/>
    <w:rsid w:val="00F85A8C"/>
    <w:rsid w:val="00F903F4"/>
    <w:rsid w:val="00F90FCC"/>
    <w:rsid w:val="00F915F1"/>
    <w:rsid w:val="00F91721"/>
    <w:rsid w:val="00F920ED"/>
    <w:rsid w:val="00F95601"/>
    <w:rsid w:val="00FA07E3"/>
    <w:rsid w:val="00FA5879"/>
    <w:rsid w:val="00FA5CFA"/>
    <w:rsid w:val="00FB04D2"/>
    <w:rsid w:val="00FC56DF"/>
    <w:rsid w:val="00FC5E7E"/>
    <w:rsid w:val="00FD0B60"/>
    <w:rsid w:val="00FD2335"/>
    <w:rsid w:val="00FD29BA"/>
    <w:rsid w:val="00FD2AED"/>
    <w:rsid w:val="00FD2F78"/>
    <w:rsid w:val="00FD739B"/>
    <w:rsid w:val="00FE0E36"/>
    <w:rsid w:val="00FE268E"/>
    <w:rsid w:val="00FE2790"/>
    <w:rsid w:val="00FE639A"/>
    <w:rsid w:val="00FE6EA5"/>
    <w:rsid w:val="00FE76EB"/>
    <w:rsid w:val="00FE7BE9"/>
    <w:rsid w:val="00FF344D"/>
    <w:rsid w:val="00FF39E5"/>
    <w:rsid w:val="00FF3C6E"/>
    <w:rsid w:val="00FF401B"/>
    <w:rsid w:val="00FF463F"/>
    <w:rsid w:val="00FF7F98"/>
    <w:rsid w:val="01417ED0"/>
    <w:rsid w:val="01606258"/>
    <w:rsid w:val="016531D1"/>
    <w:rsid w:val="017862CA"/>
    <w:rsid w:val="04967ABA"/>
    <w:rsid w:val="06124B79"/>
    <w:rsid w:val="07D33263"/>
    <w:rsid w:val="08CA35E8"/>
    <w:rsid w:val="08CF5B2D"/>
    <w:rsid w:val="0B4B5358"/>
    <w:rsid w:val="0BE91440"/>
    <w:rsid w:val="0D210971"/>
    <w:rsid w:val="0DDB6F15"/>
    <w:rsid w:val="0F8E0A11"/>
    <w:rsid w:val="100B7158"/>
    <w:rsid w:val="114A472F"/>
    <w:rsid w:val="12104073"/>
    <w:rsid w:val="1260229D"/>
    <w:rsid w:val="12A56C4A"/>
    <w:rsid w:val="143C0CA7"/>
    <w:rsid w:val="147B275D"/>
    <w:rsid w:val="14942891"/>
    <w:rsid w:val="15186782"/>
    <w:rsid w:val="15652E85"/>
    <w:rsid w:val="16D2413C"/>
    <w:rsid w:val="185760F5"/>
    <w:rsid w:val="18FB61F4"/>
    <w:rsid w:val="1D1C3424"/>
    <w:rsid w:val="1D3F5CF8"/>
    <w:rsid w:val="1E8C78EE"/>
    <w:rsid w:val="1EFA3C38"/>
    <w:rsid w:val="1F874D8A"/>
    <w:rsid w:val="20382140"/>
    <w:rsid w:val="20C37B32"/>
    <w:rsid w:val="23EA427B"/>
    <w:rsid w:val="249809B4"/>
    <w:rsid w:val="24DD2A62"/>
    <w:rsid w:val="272F13E2"/>
    <w:rsid w:val="27323D42"/>
    <w:rsid w:val="2AF578DD"/>
    <w:rsid w:val="2AFB0177"/>
    <w:rsid w:val="2B7254AB"/>
    <w:rsid w:val="2B774A68"/>
    <w:rsid w:val="2C9A6113"/>
    <w:rsid w:val="309F1F4A"/>
    <w:rsid w:val="328E14B9"/>
    <w:rsid w:val="32935F4F"/>
    <w:rsid w:val="32A827E6"/>
    <w:rsid w:val="33590A0D"/>
    <w:rsid w:val="340E5BF8"/>
    <w:rsid w:val="35664574"/>
    <w:rsid w:val="360B5E16"/>
    <w:rsid w:val="36473304"/>
    <w:rsid w:val="37B400A6"/>
    <w:rsid w:val="380145D2"/>
    <w:rsid w:val="38D06447"/>
    <w:rsid w:val="39790D27"/>
    <w:rsid w:val="39F71049"/>
    <w:rsid w:val="3A12378C"/>
    <w:rsid w:val="3A7B3698"/>
    <w:rsid w:val="3A9E1150"/>
    <w:rsid w:val="3AB16C65"/>
    <w:rsid w:val="3B2344B0"/>
    <w:rsid w:val="3C184783"/>
    <w:rsid w:val="3CCE4A7B"/>
    <w:rsid w:val="3E17189D"/>
    <w:rsid w:val="3FDD483D"/>
    <w:rsid w:val="40017D8D"/>
    <w:rsid w:val="436B0FC0"/>
    <w:rsid w:val="44187FD3"/>
    <w:rsid w:val="446E75ED"/>
    <w:rsid w:val="44C91833"/>
    <w:rsid w:val="44FF5255"/>
    <w:rsid w:val="45B002FD"/>
    <w:rsid w:val="46CE0DE5"/>
    <w:rsid w:val="48001477"/>
    <w:rsid w:val="48C705C9"/>
    <w:rsid w:val="492D2D74"/>
    <w:rsid w:val="499524F4"/>
    <w:rsid w:val="4B876EDE"/>
    <w:rsid w:val="4CD40D75"/>
    <w:rsid w:val="4DA23BF2"/>
    <w:rsid w:val="4DB200A1"/>
    <w:rsid w:val="4DD07D4C"/>
    <w:rsid w:val="4ECE1A55"/>
    <w:rsid w:val="537F081D"/>
    <w:rsid w:val="53D05DA1"/>
    <w:rsid w:val="54656664"/>
    <w:rsid w:val="54720713"/>
    <w:rsid w:val="55BD3B21"/>
    <w:rsid w:val="589635DD"/>
    <w:rsid w:val="58A15E9B"/>
    <w:rsid w:val="5B1F3F3A"/>
    <w:rsid w:val="5B494DFB"/>
    <w:rsid w:val="5B734C0E"/>
    <w:rsid w:val="5D111766"/>
    <w:rsid w:val="5DE45D57"/>
    <w:rsid w:val="5EC0771C"/>
    <w:rsid w:val="5FCB6071"/>
    <w:rsid w:val="626E1D1B"/>
    <w:rsid w:val="631A3196"/>
    <w:rsid w:val="64084829"/>
    <w:rsid w:val="646B48B3"/>
    <w:rsid w:val="65965302"/>
    <w:rsid w:val="67565A36"/>
    <w:rsid w:val="67567154"/>
    <w:rsid w:val="68B96DFC"/>
    <w:rsid w:val="69404DAA"/>
    <w:rsid w:val="697274F4"/>
    <w:rsid w:val="6A236CE5"/>
    <w:rsid w:val="6A721EA2"/>
    <w:rsid w:val="6C39522C"/>
    <w:rsid w:val="6F954EAA"/>
    <w:rsid w:val="716606CE"/>
    <w:rsid w:val="71E02129"/>
    <w:rsid w:val="740C0E97"/>
    <w:rsid w:val="759727BC"/>
    <w:rsid w:val="77812C28"/>
    <w:rsid w:val="7CDB518C"/>
    <w:rsid w:val="7D2E7EAA"/>
    <w:rsid w:val="7DC964F0"/>
    <w:rsid w:val="7FE368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28"/>
    <w:qFormat/>
    <w:uiPriority w:val="0"/>
    <w:pPr>
      <w:keepNext/>
      <w:autoSpaceDE w:val="0"/>
      <w:autoSpaceDN w:val="0"/>
      <w:adjustRightInd w:val="0"/>
      <w:jc w:val="center"/>
      <w:outlineLvl w:val="0"/>
    </w:pPr>
    <w:rPr>
      <w:rFonts w:ascii="宋体"/>
      <w:color w:val="000000"/>
      <w:sz w:val="28"/>
      <w:szCs w:val="20"/>
    </w:rPr>
  </w:style>
  <w:style w:type="paragraph" w:styleId="5">
    <w:name w:val="heading 2"/>
    <w:basedOn w:val="1"/>
    <w:next w:val="1"/>
    <w:link w:val="33"/>
    <w:qFormat/>
    <w:uiPriority w:val="0"/>
    <w:pPr>
      <w:keepNext/>
      <w:keepLines/>
      <w:spacing w:before="260" w:after="260" w:line="416" w:lineRule="auto"/>
      <w:outlineLvl w:val="1"/>
    </w:pPr>
    <w:rPr>
      <w:rFonts w:ascii="Arial" w:hAnsi="Arial"/>
      <w:b/>
      <w:bCs/>
      <w:sz w:val="32"/>
      <w:szCs w:val="32"/>
    </w:rPr>
  </w:style>
  <w:style w:type="paragraph" w:styleId="6">
    <w:name w:val="heading 3"/>
    <w:basedOn w:val="1"/>
    <w:next w:val="1"/>
    <w:link w:val="35"/>
    <w:semiHidden/>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36"/>
    <w:qFormat/>
    <w:uiPriority w:val="0"/>
    <w:pPr>
      <w:keepNext/>
      <w:keepLines/>
      <w:spacing w:before="280" w:after="290" w:line="376" w:lineRule="auto"/>
      <w:outlineLvl w:val="3"/>
    </w:pPr>
    <w:rPr>
      <w:rFonts w:ascii="Cambria" w:hAnsi="Cambria"/>
      <w:b/>
      <w:bCs/>
      <w:sz w:val="28"/>
      <w:szCs w:val="28"/>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2"/>
    <w:basedOn w:val="1"/>
    <w:qFormat/>
    <w:uiPriority w:val="0"/>
    <w:pPr>
      <w:spacing w:line="360" w:lineRule="auto"/>
    </w:pPr>
    <w:rPr>
      <w:sz w:val="24"/>
    </w:rPr>
  </w:style>
  <w:style w:type="paragraph" w:styleId="8">
    <w:name w:val="annotation text"/>
    <w:basedOn w:val="1"/>
    <w:link w:val="29"/>
    <w:unhideWhenUsed/>
    <w:qFormat/>
    <w:uiPriority w:val="99"/>
    <w:pPr>
      <w:jc w:val="left"/>
    </w:pPr>
  </w:style>
  <w:style w:type="paragraph" w:styleId="9">
    <w:name w:val="Body Text Indent"/>
    <w:basedOn w:val="1"/>
    <w:unhideWhenUsed/>
    <w:qFormat/>
    <w:uiPriority w:val="99"/>
    <w:pPr>
      <w:spacing w:after="120"/>
      <w:ind w:left="420" w:leftChars="200"/>
    </w:pPr>
  </w:style>
  <w:style w:type="paragraph" w:styleId="10">
    <w:name w:val="Plain Text"/>
    <w:basedOn w:val="1"/>
    <w:link w:val="32"/>
    <w:qFormat/>
    <w:uiPriority w:val="0"/>
    <w:rPr>
      <w:rFonts w:ascii="宋体" w:hAnsi="Courier New" w:eastAsiaTheme="minorEastAsia" w:cstheme="minorBidi"/>
    </w:rPr>
  </w:style>
  <w:style w:type="paragraph" w:styleId="11">
    <w:name w:val="Date"/>
    <w:basedOn w:val="1"/>
    <w:next w:val="1"/>
    <w:link w:val="24"/>
    <w:qFormat/>
    <w:uiPriority w:val="0"/>
    <w:rPr>
      <w:rFonts w:ascii="宋体" w:hAnsi="Courier New"/>
      <w:kern w:val="0"/>
      <w:sz w:val="32"/>
      <w:szCs w:val="20"/>
    </w:rPr>
  </w:style>
  <w:style w:type="paragraph" w:styleId="12">
    <w:name w:val="Balloon Text"/>
    <w:basedOn w:val="1"/>
    <w:link w:val="25"/>
    <w:semiHidden/>
    <w:unhideWhenUsed/>
    <w:qFormat/>
    <w:uiPriority w:val="99"/>
    <w:rPr>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annotation subject"/>
    <w:basedOn w:val="8"/>
    <w:next w:val="8"/>
    <w:link w:val="30"/>
    <w:semiHidden/>
    <w:unhideWhenUsed/>
    <w:qFormat/>
    <w:uiPriority w:val="99"/>
    <w:rPr>
      <w:b/>
      <w:bCs/>
    </w:rPr>
  </w:style>
  <w:style w:type="paragraph" w:styleId="16">
    <w:name w:val="Body Text First Indent"/>
    <w:basedOn w:val="2"/>
    <w:qFormat/>
    <w:uiPriority w:val="0"/>
    <w:pPr>
      <w:ind w:firstLine="420" w:firstLineChars="100"/>
    </w:pPr>
    <w:rPr>
      <w:rFonts w:eastAsia="微软雅黑"/>
    </w:rPr>
  </w:style>
  <w:style w:type="paragraph" w:styleId="17">
    <w:name w:val="Body Text First Indent 2"/>
    <w:basedOn w:val="9"/>
    <w:qFormat/>
    <w:uiPriority w:val="0"/>
    <w:pPr>
      <w:ind w:firstLine="420" w:firstLineChars="200"/>
    </w:pPr>
    <w:rPr>
      <w:szCs w:val="24"/>
    </w:r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1">
    <w:name w:val="Hyperlink"/>
    <w:qFormat/>
    <w:uiPriority w:val="99"/>
    <w:rPr>
      <w:color w:val="0000FF"/>
      <w:u w:val="single"/>
    </w:rPr>
  </w:style>
  <w:style w:type="character" w:styleId="22">
    <w:name w:val="annotation reference"/>
    <w:basedOn w:val="20"/>
    <w:semiHidden/>
    <w:unhideWhenUsed/>
    <w:qFormat/>
    <w:uiPriority w:val="99"/>
    <w:rPr>
      <w:sz w:val="21"/>
      <w:szCs w:val="21"/>
    </w:rPr>
  </w:style>
  <w:style w:type="character" w:customStyle="1" w:styleId="23">
    <w:name w:val="日期 Char"/>
    <w:basedOn w:val="20"/>
    <w:qFormat/>
    <w:uiPriority w:val="0"/>
    <w:rPr>
      <w:rFonts w:ascii="宋体" w:hAnsi="Courier New" w:eastAsia="宋体" w:cs="Times New Roman"/>
      <w:kern w:val="0"/>
      <w:sz w:val="32"/>
      <w:szCs w:val="20"/>
    </w:rPr>
  </w:style>
  <w:style w:type="character" w:customStyle="1" w:styleId="24">
    <w:name w:val="日期 字符"/>
    <w:basedOn w:val="20"/>
    <w:link w:val="11"/>
    <w:semiHidden/>
    <w:qFormat/>
    <w:uiPriority w:val="99"/>
    <w:rPr>
      <w:rFonts w:ascii="Calibri" w:hAnsi="Calibri" w:eastAsia="宋体" w:cs="Times New Roman"/>
    </w:rPr>
  </w:style>
  <w:style w:type="character" w:customStyle="1" w:styleId="25">
    <w:name w:val="批注框文本 字符"/>
    <w:basedOn w:val="20"/>
    <w:link w:val="12"/>
    <w:semiHidden/>
    <w:qFormat/>
    <w:uiPriority w:val="99"/>
    <w:rPr>
      <w:rFonts w:ascii="Calibri" w:hAnsi="Calibri" w:eastAsia="宋体" w:cs="Times New Roman"/>
      <w:sz w:val="18"/>
      <w:szCs w:val="18"/>
    </w:rPr>
  </w:style>
  <w:style w:type="character" w:customStyle="1" w:styleId="26">
    <w:name w:val="页眉 字符"/>
    <w:basedOn w:val="20"/>
    <w:link w:val="14"/>
    <w:semiHidden/>
    <w:qFormat/>
    <w:uiPriority w:val="99"/>
    <w:rPr>
      <w:rFonts w:ascii="Calibri" w:hAnsi="Calibri" w:eastAsia="宋体" w:cs="Times New Roman"/>
      <w:sz w:val="18"/>
      <w:szCs w:val="18"/>
    </w:rPr>
  </w:style>
  <w:style w:type="character" w:customStyle="1" w:styleId="27">
    <w:name w:val="页脚 字符"/>
    <w:basedOn w:val="20"/>
    <w:link w:val="13"/>
    <w:qFormat/>
    <w:uiPriority w:val="99"/>
    <w:rPr>
      <w:rFonts w:ascii="Calibri" w:hAnsi="Calibri" w:eastAsia="宋体" w:cs="Times New Roman"/>
      <w:sz w:val="18"/>
      <w:szCs w:val="18"/>
    </w:rPr>
  </w:style>
  <w:style w:type="character" w:customStyle="1" w:styleId="28">
    <w:name w:val="标题 1 字符"/>
    <w:basedOn w:val="20"/>
    <w:link w:val="4"/>
    <w:qFormat/>
    <w:uiPriority w:val="0"/>
    <w:rPr>
      <w:rFonts w:ascii="宋体" w:hAnsi="Calibri" w:eastAsia="宋体" w:cs="Times New Roman"/>
      <w:color w:val="000000"/>
      <w:sz w:val="28"/>
      <w:szCs w:val="20"/>
    </w:rPr>
  </w:style>
  <w:style w:type="character" w:customStyle="1" w:styleId="29">
    <w:name w:val="批注文字 字符"/>
    <w:basedOn w:val="20"/>
    <w:link w:val="8"/>
    <w:qFormat/>
    <w:uiPriority w:val="99"/>
    <w:rPr>
      <w:rFonts w:ascii="Calibri" w:hAnsi="Calibri" w:eastAsia="宋体" w:cs="Times New Roman"/>
    </w:rPr>
  </w:style>
  <w:style w:type="character" w:customStyle="1" w:styleId="30">
    <w:name w:val="批注主题 字符"/>
    <w:basedOn w:val="29"/>
    <w:link w:val="15"/>
    <w:semiHidden/>
    <w:qFormat/>
    <w:uiPriority w:val="99"/>
    <w:rPr>
      <w:rFonts w:ascii="Calibri" w:hAnsi="Calibri" w:eastAsia="宋体" w:cs="Times New Roman"/>
      <w:b/>
      <w:bCs/>
    </w:rPr>
  </w:style>
  <w:style w:type="character" w:customStyle="1" w:styleId="31">
    <w:name w:val="纯文本 Char"/>
    <w:qFormat/>
    <w:uiPriority w:val="0"/>
    <w:rPr>
      <w:rFonts w:ascii="宋体" w:hAnsi="Courier New"/>
    </w:rPr>
  </w:style>
  <w:style w:type="character" w:customStyle="1" w:styleId="32">
    <w:name w:val="纯文本 字符"/>
    <w:basedOn w:val="20"/>
    <w:link w:val="10"/>
    <w:semiHidden/>
    <w:qFormat/>
    <w:uiPriority w:val="99"/>
    <w:rPr>
      <w:rFonts w:ascii="宋体" w:hAnsi="Courier New" w:eastAsia="宋体" w:cs="Courier New"/>
      <w:szCs w:val="21"/>
    </w:rPr>
  </w:style>
  <w:style w:type="character" w:customStyle="1" w:styleId="33">
    <w:name w:val="标题 2 字符"/>
    <w:basedOn w:val="20"/>
    <w:link w:val="5"/>
    <w:qFormat/>
    <w:uiPriority w:val="0"/>
    <w:rPr>
      <w:rFonts w:ascii="Arial" w:hAnsi="Arial" w:eastAsia="宋体" w:cs="Times New Roman"/>
      <w:b/>
      <w:bCs/>
      <w:sz w:val="32"/>
      <w:szCs w:val="32"/>
    </w:rPr>
  </w:style>
  <w:style w:type="paragraph" w:styleId="34">
    <w:name w:val="List Paragraph"/>
    <w:basedOn w:val="1"/>
    <w:qFormat/>
    <w:uiPriority w:val="34"/>
    <w:pPr>
      <w:ind w:firstLine="420" w:firstLineChars="200"/>
    </w:pPr>
  </w:style>
  <w:style w:type="character" w:customStyle="1" w:styleId="35">
    <w:name w:val="标题 3 字符"/>
    <w:basedOn w:val="20"/>
    <w:link w:val="6"/>
    <w:semiHidden/>
    <w:qFormat/>
    <w:uiPriority w:val="9"/>
    <w:rPr>
      <w:rFonts w:ascii="Calibri" w:hAnsi="Calibri" w:eastAsia="宋体" w:cs="Times New Roman"/>
      <w:b/>
      <w:bCs/>
      <w:sz w:val="32"/>
      <w:szCs w:val="32"/>
    </w:rPr>
  </w:style>
  <w:style w:type="character" w:customStyle="1" w:styleId="36">
    <w:name w:val="标题 4 字符"/>
    <w:basedOn w:val="20"/>
    <w:link w:val="7"/>
    <w:qFormat/>
    <w:uiPriority w:val="0"/>
    <w:rPr>
      <w:rFonts w:ascii="Cambria" w:hAnsi="Cambria" w:eastAsia="宋体" w:cs="Times New Roman"/>
      <w:b/>
      <w:bCs/>
      <w:sz w:val="28"/>
      <w:szCs w:val="28"/>
    </w:rPr>
  </w:style>
  <w:style w:type="paragraph" w:customStyle="1" w:styleId="37">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38">
    <w:name w:val="1"/>
    <w:basedOn w:val="1"/>
    <w:next w:val="10"/>
    <w:qFormat/>
    <w:uiPriority w:val="0"/>
    <w:rPr>
      <w:rFonts w:ascii="宋体" w:hAnsi="Courier New"/>
      <w:szCs w:val="20"/>
    </w:rPr>
  </w:style>
  <w:style w:type="paragraph" w:customStyle="1" w:styleId="39">
    <w:name w:val="8"/>
    <w:basedOn w:val="1"/>
    <w:next w:val="10"/>
    <w:qFormat/>
    <w:uiPriority w:val="0"/>
    <w:rPr>
      <w:rFonts w:ascii="宋体" w:hAnsi="Courier New"/>
      <w:szCs w:val="20"/>
    </w:rPr>
  </w:style>
  <w:style w:type="paragraph" w:customStyle="1" w:styleId="40">
    <w:name w:val="_Style 55"/>
    <w:basedOn w:val="1"/>
    <w:next w:val="10"/>
    <w:qFormat/>
    <w:uiPriority w:val="0"/>
    <w:rPr>
      <w:rFonts w:ascii="宋体" w:hAnsi="Courier New"/>
      <w:szCs w:val="20"/>
    </w:rPr>
  </w:style>
  <w:style w:type="paragraph" w:customStyle="1" w:styleId="41">
    <w:name w:val="7"/>
    <w:basedOn w:val="1"/>
    <w:next w:val="10"/>
    <w:link w:val="42"/>
    <w:qFormat/>
    <w:uiPriority w:val="0"/>
    <w:rPr>
      <w:rFonts w:ascii="宋体" w:hAnsi="Courier New"/>
      <w:szCs w:val="20"/>
    </w:rPr>
  </w:style>
  <w:style w:type="character" w:customStyle="1" w:styleId="42">
    <w:name w:val="Char1"/>
    <w:link w:val="41"/>
    <w:qFormat/>
    <w:uiPriority w:val="0"/>
    <w:rPr>
      <w:rFonts w:ascii="宋体" w:hAnsi="Courier New" w:eastAsia="宋体" w:cs="Times New Roman"/>
      <w:szCs w:val="20"/>
    </w:rPr>
  </w:style>
  <w:style w:type="paragraph" w:customStyle="1" w:styleId="43">
    <w:name w:val="列出段落1"/>
    <w:basedOn w:val="1"/>
    <w:qFormat/>
    <w:uiPriority w:val="0"/>
    <w:pPr>
      <w:ind w:firstLine="420" w:firstLineChars="200"/>
    </w:pPr>
    <w:rPr>
      <w:rFonts w:cs="Calibri"/>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BEC3A0-9456-416E-A739-B0A6306C75F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94</Pages>
  <Words>42532</Words>
  <Characters>48426</Characters>
  <Lines>406</Lines>
  <Paragraphs>114</Paragraphs>
  <TotalTime>16</TotalTime>
  <ScaleCrop>false</ScaleCrop>
  <LinksUpToDate>false</LinksUpToDate>
  <CharactersWithSpaces>50671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2019-10-21T09:39:00Z</dcterms:created>
  <dc:creator>User</dc:creator>
  <cp:lastModifiedBy>是创不是灿</cp:lastModifiedBy>
  <cp:lastPrinted>2020-05-21T02:27:00Z</cp:lastPrinted>
  <dcterms:modified xsi:type="dcterms:W3CDTF">2022-12-20T10:59:00Z</dcterms:modified>
  <cp:revision>1534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43E96D92CA464D3E88FB605C8B62D8E8</vt:lpwstr>
  </property>
</Properties>
</file>